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color w:val="000000"/>
          <w:sz w:val="24"/>
          <w:szCs w:val="24"/>
        </w:rPr>
      </w:pPr>
      <w:r>
        <w:rPr>
          <w:rFonts w:cs="Calibri"/>
          <w:b/>
          <w:bCs/>
          <w:color w:val="000000"/>
          <w:sz w:val="24"/>
          <w:szCs w:val="24"/>
        </w:rPr>
        <w:t>Wymagania edukacyjne dla klasy 4 – język polski</w:t>
      </w:r>
    </w:p>
    <w:p>
      <w:pPr>
        <w:pStyle w:val="Normal"/>
        <w:spacing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Lista lektur w klasie </w:t>
      </w:r>
      <w:r>
        <w:rPr>
          <w:rFonts w:ascii="Times New Roman" w:hAnsi="Times New Roman"/>
          <w:sz w:val="24"/>
          <w:szCs w:val="24"/>
        </w:rPr>
        <w:t>VIII</w:t>
      </w:r>
    </w:p>
    <w:p>
      <w:pPr>
        <w:pStyle w:val="ListParagraph"/>
        <w:numPr>
          <w:ilvl w:val="0"/>
          <w:numId w:val="1"/>
        </w:numPr>
        <w:suppressAutoHyphens w:val="true"/>
        <w:spacing w:before="0"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Adam Mickiewicz – </w:t>
      </w:r>
      <w:r>
        <w:rPr>
          <w:rFonts w:ascii="Times New Roman" w:hAnsi="Times New Roman"/>
          <w:i/>
          <w:iCs/>
          <w:sz w:val="24"/>
          <w:szCs w:val="24"/>
        </w:rPr>
        <w:t>Pan Tadeusz</w:t>
      </w:r>
      <w:r>
        <w:rPr>
          <w:rFonts w:ascii="Times New Roman" w:hAnsi="Times New Roman"/>
          <w:sz w:val="24"/>
          <w:szCs w:val="24"/>
        </w:rPr>
        <w:t xml:space="preserve"> (księgi: I, II, IV, X, XI, XII)</w:t>
      </w:r>
    </w:p>
    <w:p>
      <w:pPr>
        <w:pStyle w:val="ListParagraph"/>
        <w:numPr>
          <w:ilvl w:val="0"/>
          <w:numId w:val="1"/>
        </w:numPr>
        <w:suppressAutoHyphens w:val="true"/>
        <w:spacing w:before="0"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Henryk Sienkiewicz – </w:t>
      </w:r>
      <w:r>
        <w:rPr>
          <w:rFonts w:ascii="Times New Roman" w:hAnsi="Times New Roman"/>
          <w:i/>
          <w:iCs/>
          <w:sz w:val="24"/>
          <w:szCs w:val="24"/>
        </w:rPr>
        <w:t>Quo vadis</w:t>
      </w:r>
    </w:p>
    <w:p>
      <w:pPr>
        <w:pStyle w:val="ListParagraph"/>
        <w:numPr>
          <w:ilvl w:val="0"/>
          <w:numId w:val="1"/>
        </w:numPr>
        <w:suppressAutoHyphens w:val="true"/>
        <w:spacing w:before="0"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Aleksander Kamiński – </w:t>
      </w:r>
      <w:r>
        <w:rPr>
          <w:rFonts w:ascii="Times New Roman" w:hAnsi="Times New Roman"/>
          <w:i/>
          <w:iCs/>
          <w:sz w:val="24"/>
          <w:szCs w:val="24"/>
        </w:rPr>
        <w:t>Kamienie na szaniec</w:t>
      </w:r>
    </w:p>
    <w:p>
      <w:pPr>
        <w:pStyle w:val="ListParagraph"/>
        <w:numPr>
          <w:ilvl w:val="0"/>
          <w:numId w:val="1"/>
        </w:numPr>
        <w:suppressAutoHyphens w:val="true"/>
        <w:spacing w:before="0"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wybrane teksty czytane i omawiane na lekcji</w:t>
      </w:r>
    </w:p>
    <w:p>
      <w:pPr>
        <w:pStyle w:val="Normal"/>
        <w:spacing w:before="0" w:after="0"/>
        <w:rPr>
          <w:rFonts w:ascii="Times New Roman" w:hAnsi="Times New Roman"/>
          <w:b/>
          <w:sz w:val="24"/>
          <w:szCs w:val="24"/>
        </w:rPr>
      </w:pPr>
      <w:r>
        <w:rPr/>
      </w:r>
    </w:p>
    <w:p>
      <w:pPr>
        <w:pStyle w:val="Normal"/>
        <w:spacing w:before="0"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Uczeń przez cały rok szkolny ma być wyposażony w:</w:t>
      </w:r>
    </w:p>
    <w:p>
      <w:pPr>
        <w:pStyle w:val="Normal"/>
        <w:spacing w:before="0" w:after="0"/>
        <w:rPr>
          <w:rFonts w:ascii="Times New Roman" w:hAnsi="Times New Roman"/>
          <w:b/>
          <w:i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 oprawiony podręcznik </w:t>
      </w:r>
      <w:r>
        <w:rPr>
          <w:rFonts w:ascii="Times New Roman" w:hAnsi="Times New Roman"/>
          <w:b/>
          <w:i/>
          <w:sz w:val="24"/>
          <w:szCs w:val="24"/>
        </w:rPr>
        <w:t xml:space="preserve">Zamieńmy słowo! </w:t>
      </w:r>
      <w:r>
        <w:rPr>
          <w:rFonts w:ascii="Times New Roman" w:hAnsi="Times New Roman"/>
          <w:b/>
          <w:i/>
          <w:sz w:val="24"/>
          <w:szCs w:val="24"/>
        </w:rPr>
        <w:t>8</w:t>
      </w:r>
    </w:p>
    <w:p>
      <w:pPr>
        <w:pStyle w:val="Normal"/>
        <w:spacing w:before="0"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 oprawiony zeszyt przedmiotowy w szerokie linie 80- lub 96-kartkowy</w:t>
      </w:r>
    </w:p>
    <w:p>
      <w:pPr>
        <w:pStyle w:val="Normal"/>
        <w:spacing w:before="0"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 zeszyt lektur – </w:t>
      </w:r>
      <w:r>
        <w:rPr>
          <w:rFonts w:ascii="Times New Roman" w:hAnsi="Times New Roman"/>
          <w:b/>
          <w:sz w:val="24"/>
          <w:szCs w:val="24"/>
          <w:u w:val="single"/>
        </w:rPr>
        <w:t>96 kartek format A4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>
      <w:pPr>
        <w:pStyle w:val="Normal"/>
        <w:spacing w:before="0"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 teczka A4 do gromadzenia wypracowań </w:t>
      </w:r>
      <w:r>
        <w:rPr>
          <w:rFonts w:ascii="Times New Roman" w:hAnsi="Times New Roman"/>
          <w:b/>
          <w:sz w:val="24"/>
          <w:szCs w:val="24"/>
        </w:rPr>
        <w:t>i materiałów przygotowujących do egzaminu ósmoklasisty</w:t>
      </w:r>
    </w:p>
    <w:p>
      <w:pPr>
        <w:pStyle w:val="Normal"/>
        <w:spacing w:before="0"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 podstawowe narzędzia pisarskie (długopis z niebieskim lub czarnym tuszem oraz jeden kolorowy długopis)</w:t>
      </w:r>
    </w:p>
    <w:p>
      <w:pPr>
        <w:pStyle w:val="Normal"/>
        <w:spacing w:before="0" w:after="0"/>
        <w:rPr>
          <w:rFonts w:ascii="Times New Roman" w:hAnsi="Times New Roman"/>
          <w:b/>
          <w:sz w:val="24"/>
          <w:szCs w:val="24"/>
        </w:rPr>
      </w:pPr>
      <w:r>
        <w:rPr/>
      </w:r>
    </w:p>
    <w:p>
      <w:pPr>
        <w:pStyle w:val="Normal"/>
        <w:spacing w:before="0" w:after="0"/>
        <w:rPr>
          <w:rFonts w:ascii="Times New Roman" w:hAnsi="Times New Roman"/>
          <w:b/>
          <w:sz w:val="24"/>
          <w:szCs w:val="24"/>
        </w:rPr>
      </w:pPr>
      <w:r>
        <w:rPr/>
      </w:r>
    </w:p>
    <w:p>
      <w:pPr>
        <w:pStyle w:val="Normal"/>
        <w:spacing w:before="0" w:after="0"/>
        <w:rPr>
          <w:rFonts w:ascii="Times New Roman" w:hAnsi="Times New Roman"/>
          <w:b/>
          <w:sz w:val="24"/>
          <w:szCs w:val="24"/>
        </w:rPr>
      </w:pPr>
      <w:r>
        <w:rPr/>
      </w:r>
    </w:p>
    <w:p>
      <w:pPr>
        <w:pStyle w:val="Normal"/>
        <w:spacing w:before="0" w:after="0"/>
        <w:rPr>
          <w:rFonts w:ascii="Times New Roman" w:hAnsi="Times New Roman"/>
          <w:b/>
          <w:sz w:val="24"/>
          <w:szCs w:val="24"/>
        </w:rPr>
      </w:pPr>
      <w:r>
        <w:rPr/>
      </w:r>
    </w:p>
    <w:p>
      <w:pPr>
        <w:pStyle w:val="Normal"/>
        <w:spacing w:before="0" w:after="0"/>
        <w:rPr>
          <w:rFonts w:ascii="Times New Roman" w:hAnsi="Times New Roman"/>
          <w:b/>
          <w:sz w:val="24"/>
          <w:szCs w:val="24"/>
        </w:rPr>
      </w:pPr>
      <w:r>
        <w:rPr/>
      </w:r>
    </w:p>
    <w:p>
      <w:pPr>
        <w:pStyle w:val="Normal"/>
        <w:spacing w:before="0" w:after="0"/>
        <w:rPr>
          <w:rFonts w:ascii="Times New Roman" w:hAnsi="Times New Roman"/>
          <w:b/>
          <w:sz w:val="24"/>
          <w:szCs w:val="24"/>
        </w:rPr>
      </w:pPr>
      <w:r>
        <w:rPr/>
      </w:r>
    </w:p>
    <w:p>
      <w:pPr>
        <w:pStyle w:val="Normal"/>
        <w:spacing w:before="0" w:after="0"/>
        <w:rPr>
          <w:rFonts w:ascii="Times New Roman" w:hAnsi="Times New Roman"/>
          <w:b/>
          <w:sz w:val="24"/>
          <w:szCs w:val="24"/>
        </w:rPr>
      </w:pPr>
      <w:r>
        <w:rPr/>
      </w:r>
    </w:p>
    <w:p>
      <w:pPr>
        <w:pStyle w:val="Normal"/>
        <w:spacing w:before="0" w:after="0"/>
        <w:rPr>
          <w:rFonts w:ascii="Times New Roman" w:hAnsi="Times New Roman"/>
          <w:b/>
          <w:sz w:val="24"/>
          <w:szCs w:val="24"/>
        </w:rPr>
      </w:pPr>
      <w:r>
        <w:rPr/>
      </w:r>
    </w:p>
    <w:p>
      <w:pPr>
        <w:pStyle w:val="Normal"/>
        <w:spacing w:before="0" w:after="0"/>
        <w:rPr>
          <w:rFonts w:ascii="Times New Roman" w:hAnsi="Times New Roman"/>
          <w:b/>
          <w:sz w:val="24"/>
          <w:szCs w:val="24"/>
        </w:rPr>
      </w:pPr>
      <w:r>
        <w:rPr/>
      </w:r>
    </w:p>
    <w:p>
      <w:pPr>
        <w:pStyle w:val="Normal"/>
        <w:spacing w:before="0" w:after="0"/>
        <w:rPr>
          <w:rFonts w:ascii="Times New Roman" w:hAnsi="Times New Roman"/>
          <w:b/>
          <w:sz w:val="24"/>
          <w:szCs w:val="24"/>
        </w:rPr>
      </w:pPr>
      <w:r>
        <w:rPr/>
      </w:r>
    </w:p>
    <w:p>
      <w:pPr>
        <w:pStyle w:val="Normal"/>
        <w:spacing w:before="0" w:after="0"/>
        <w:rPr>
          <w:rFonts w:ascii="Times New Roman" w:hAnsi="Times New Roman"/>
          <w:b/>
          <w:sz w:val="24"/>
          <w:szCs w:val="24"/>
        </w:rPr>
      </w:pPr>
      <w:r>
        <w:rPr/>
      </w:r>
    </w:p>
    <w:p>
      <w:pPr>
        <w:pStyle w:val="Normal"/>
        <w:spacing w:before="0" w:after="0"/>
        <w:rPr>
          <w:rFonts w:ascii="Times New Roman" w:hAnsi="Times New Roman"/>
          <w:b/>
          <w:sz w:val="24"/>
          <w:szCs w:val="24"/>
        </w:rPr>
      </w:pPr>
      <w:r>
        <w:rPr/>
      </w:r>
    </w:p>
    <w:p>
      <w:pPr>
        <w:pStyle w:val="Normal"/>
        <w:spacing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color="auto" w:fill="FFC000"/>
        <w:spacing w:before="0" w:after="0"/>
        <w:rPr>
          <w:b/>
          <w:bCs/>
          <w:caps/>
          <w:color w:themeColor="text1" w:themeTint="80" w:val="7F7F7F"/>
          <w:sz w:val="36"/>
          <w:szCs w:val="36"/>
        </w:rPr>
      </w:pPr>
      <w:r>
        <w:rPr>
          <w:b/>
          <w:bCs/>
          <w:color w:themeColor="text1" w:themeTint="80" w:val="7F7F7F"/>
          <w:sz w:val="36"/>
          <w:szCs w:val="36"/>
        </w:rPr>
        <w:t xml:space="preserve">I. </w:t>
      </w:r>
      <w:r>
        <w:rPr>
          <w:b/>
          <w:bCs/>
          <w:caps/>
          <w:color w:themeColor="text1" w:themeTint="80" w:val="7F7F7F"/>
          <w:sz w:val="36"/>
          <w:szCs w:val="36"/>
        </w:rPr>
        <w:t>Kształcenie literackie i kulturowe</w:t>
      </w:r>
    </w:p>
    <w:p>
      <w:pPr>
        <w:pStyle w:val="Normal"/>
        <w:spacing w:before="120" w:after="240"/>
        <w:rPr>
          <w:b/>
          <w:bCs/>
          <w:color w:val="FFC000"/>
          <w:sz w:val="32"/>
          <w:szCs w:val="32"/>
        </w:rPr>
      </w:pPr>
      <w:r>
        <w:rPr>
          <w:b/>
          <w:bCs/>
          <w:color w:val="FFC000"/>
          <w:sz w:val="32"/>
          <w:szCs w:val="32"/>
        </w:rPr>
        <w:t>I.1. Czytanie utworów literackich – liryka</w:t>
      </w:r>
    </w:p>
    <w:tbl>
      <w:tblPr>
        <w:tblStyle w:val="Tabela-Siatka"/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62"/>
        <w:gridCol w:w="3083"/>
        <w:gridCol w:w="2975"/>
        <w:gridCol w:w="2879"/>
        <w:gridCol w:w="2871"/>
      </w:tblGrid>
      <w:tr>
        <w:trPr>
          <w:tblHeader w:val="true"/>
          <w:trHeight w:val="205" w:hRule="atLeast"/>
          <w:cantSplit w:val="true"/>
        </w:trPr>
        <w:tc>
          <w:tcPr>
            <w:tcW w:w="14570" w:type="dxa"/>
            <w:gridSpan w:val="5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6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4"/>
                <w:szCs w:val="24"/>
                <w:lang w:val="pl-PL" w:eastAsia="en-US" w:bidi="ar-SA"/>
              </w:rPr>
              <w:t xml:space="preserve">Treści nauczania wskazane w </w:t>
            </w:r>
            <w:r>
              <w:rPr>
                <w:rFonts w:eastAsia="Calibri" w:cs="Calibri" w:cstheme="minorHAnsi"/>
                <w:b/>
                <w:bCs/>
                <w:i/>
                <w:iCs/>
                <w:color w:themeColor="background1" w:val="FFFFFF"/>
                <w:kern w:val="0"/>
                <w:sz w:val="24"/>
                <w:szCs w:val="24"/>
                <w:lang w:val="pl-PL" w:eastAsia="en-US" w:bidi="ar-SA"/>
              </w:rPr>
              <w:t xml:space="preserve">Podstawie programowej dla II etapu edukacyjnego </w:t>
            </w: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4"/>
                <w:szCs w:val="24"/>
                <w:lang w:val="pl-PL" w:eastAsia="en-US" w:bidi="ar-SA"/>
              </w:rPr>
              <w:t>(klasy 4–8)</w:t>
            </w:r>
          </w:p>
          <w:p>
            <w:pPr>
              <w:pStyle w:val="Normal"/>
              <w:widowControl/>
              <w:spacing w:lineRule="auto" w:line="240" w:before="0" w:after="6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4"/>
                <w:szCs w:val="24"/>
                <w:lang w:val="pl-PL" w:eastAsia="en-US" w:bidi="ar-SA"/>
              </w:rPr>
              <w:t xml:space="preserve">i zawarte w podręczniku </w:t>
            </w:r>
            <w:r>
              <w:rPr>
                <w:rFonts w:eastAsia="Calibri" w:cs="Calibri" w:cstheme="minorHAnsi"/>
                <w:b/>
                <w:bCs/>
                <w:i/>
                <w:iCs/>
                <w:color w:themeColor="background1" w:val="FFFFFF"/>
                <w:kern w:val="0"/>
                <w:sz w:val="24"/>
                <w:szCs w:val="24"/>
                <w:lang w:val="pl-PL" w:eastAsia="en-US" w:bidi="ar-SA"/>
              </w:rPr>
              <w:t>Zamieńmy słowo</w:t>
            </w: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4"/>
                <w:szCs w:val="24"/>
                <w:lang w:val="pl-PL" w:eastAsia="en-US" w:bidi="ar-SA"/>
              </w:rPr>
              <w:t xml:space="preserve"> dla klasy 8</w:t>
            </w:r>
          </w:p>
        </w:tc>
      </w:tr>
      <w:tr>
        <w:trPr>
          <w:tblHeader w:val="true"/>
          <w:trHeight w:val="340" w:hRule="atLeast"/>
          <w:cantSplit w:val="true"/>
        </w:trPr>
        <w:tc>
          <w:tcPr>
            <w:tcW w:w="2762" w:type="dxa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2"/>
                <w:szCs w:val="22"/>
                <w:lang w:val="pl-PL" w:eastAsia="en-US" w:bidi="ar-SA"/>
              </w:rPr>
              <w:t>ocena dopuszczająca</w:t>
            </w:r>
          </w:p>
        </w:tc>
        <w:tc>
          <w:tcPr>
            <w:tcW w:w="3083" w:type="dxa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2"/>
                <w:szCs w:val="22"/>
                <w:lang w:val="pl-PL" w:eastAsia="en-US" w:bidi="ar-SA"/>
              </w:rPr>
              <w:t>ocena dostateczna</w:t>
            </w:r>
          </w:p>
        </w:tc>
        <w:tc>
          <w:tcPr>
            <w:tcW w:w="2975" w:type="dxa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2"/>
                <w:szCs w:val="22"/>
                <w:lang w:val="pl-PL" w:eastAsia="en-US" w:bidi="ar-SA"/>
              </w:rPr>
              <w:t>ocena dobra</w:t>
            </w:r>
          </w:p>
        </w:tc>
        <w:tc>
          <w:tcPr>
            <w:tcW w:w="2879" w:type="dxa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2"/>
                <w:szCs w:val="22"/>
                <w:lang w:val="pl-PL" w:eastAsia="en-US" w:bidi="ar-SA"/>
              </w:rPr>
              <w:t>ocena bardzo dobra</w:t>
            </w:r>
          </w:p>
        </w:tc>
        <w:tc>
          <w:tcPr>
            <w:tcW w:w="2871" w:type="dxa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2"/>
                <w:szCs w:val="22"/>
                <w:lang w:val="pl-PL" w:eastAsia="en-US" w:bidi="ar-SA"/>
              </w:rPr>
              <w:t>ocena celująca</w:t>
            </w:r>
          </w:p>
        </w:tc>
      </w:tr>
      <w:tr>
        <w:trPr>
          <w:tblHeader w:val="true"/>
          <w:trHeight w:val="340" w:hRule="atLeast"/>
          <w:cantSplit w:val="true"/>
        </w:trPr>
        <w:tc>
          <w:tcPr>
            <w:tcW w:w="14570" w:type="dxa"/>
            <w:gridSpan w:val="5"/>
            <w:tcBorders>
              <w:top w:val="single" w:sz="4" w:space="0" w:color="FFFFFF"/>
              <w:left w:val="single" w:sz="6" w:space="0" w:color="FFFFFF"/>
              <w:bottom w:val="single" w:sz="2" w:space="0" w:color="0070C0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2"/>
                <w:szCs w:val="22"/>
                <w:lang w:val="pl-PL" w:eastAsia="en-US" w:bidi="ar-SA"/>
              </w:rPr>
              <w:t>Uczeń</w:t>
            </w:r>
          </w:p>
        </w:tc>
      </w:tr>
      <w:tr>
        <w:trPr>
          <w:tblHeader w:val="true"/>
          <w:trHeight w:val="397" w:hRule="atLeast"/>
          <w:cantSplit w:val="true"/>
        </w:trPr>
        <w:tc>
          <w:tcPr>
            <w:tcW w:w="14570" w:type="dxa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color="auto" w:fill="B6DDE8" w:themeFill="accent5" w:themeFillTint="66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Calibri" w:cstheme="minorHAnsi"/>
                <w:b/>
                <w:bCs/>
                <w:caps/>
                <w:kern w:val="0"/>
                <w:sz w:val="22"/>
                <w:szCs w:val="22"/>
                <w:lang w:val="pl-PL" w:eastAsia="en-US" w:bidi="ar-SA"/>
              </w:rPr>
              <w:t>Utwory liryczne</w:t>
            </w:r>
          </w:p>
        </w:tc>
      </w:tr>
      <w:tr>
        <w:trPr>
          <w:trHeight w:val="2356" w:hRule="atLeast"/>
        </w:trPr>
        <w:tc>
          <w:tcPr>
            <w:tcW w:w="2762" w:type="dxa"/>
            <w:tcBorders>
              <w:top w:val="single" w:sz="2" w:space="0" w:color="0070C0"/>
              <w:left w:val="single" w:sz="4" w:space="0" w:color="4BACC6"/>
              <w:bottom w:val="single" w:sz="4" w:space="0" w:color="4BACC6"/>
              <w:right w:val="single" w:sz="6" w:space="0" w:color="4BACC6"/>
            </w:tcBorders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6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zna pojęcie </w:t>
            </w:r>
            <w:r>
              <w:rPr>
                <w:rFonts w:eastAsia="Calibri" w:cs=""/>
                <w:i/>
                <w:iCs/>
                <w:kern w:val="0"/>
                <w:sz w:val="22"/>
                <w:szCs w:val="22"/>
                <w:lang w:val="pl-PL" w:eastAsia="en-US" w:bidi="ar-SA"/>
              </w:rPr>
              <w:t>literatura piękna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wie, że liryka jest jednym z rodzajów literackich,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odróżnia utwór liryczny od innego utworu,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zna podstawowe cechy utworów lirycznych,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wygłasza z pamięci wskazany utwór liryczny,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krótko opowiada, o czym jest przeczytany wiersz,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nazywa swoje wrażenia </w:t>
            </w:r>
            <w:r>
              <w:rPr>
                <w:rFonts w:eastAsia="Calibri" w:cs=""/>
                <w:spacing w:val="-4"/>
                <w:kern w:val="0"/>
                <w:sz w:val="22"/>
                <w:szCs w:val="22"/>
                <w:lang w:val="pl-PL" w:eastAsia="en-US" w:bidi="ar-SA"/>
              </w:rPr>
              <w:t>wywołane lekturą wiersza,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spacing w:val="-4"/>
                <w:kern w:val="0"/>
                <w:sz w:val="22"/>
                <w:szCs w:val="22"/>
                <w:lang w:val="pl-PL" w:eastAsia="en-US" w:bidi="ar-SA"/>
              </w:rPr>
              <w:t>wie, kto to osoba mówiąca w wierszu,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wyjaśnia pojęcie </w:t>
            </w:r>
            <w:r>
              <w:rPr>
                <w:rFonts w:eastAsia="Calibri" w:cs=""/>
                <w:i/>
                <w:iCs/>
                <w:kern w:val="0"/>
                <w:sz w:val="22"/>
                <w:szCs w:val="22"/>
                <w:lang w:val="pl-PL" w:eastAsia="en-US" w:bidi="ar-SA"/>
              </w:rPr>
              <w:t>podmiot liryczn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y,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spacing w:val="-8"/>
                <w:kern w:val="0"/>
                <w:sz w:val="22"/>
                <w:szCs w:val="22"/>
                <w:lang w:val="pl-PL" w:eastAsia="en-US" w:bidi="ar-SA"/>
              </w:rPr>
              <w:t>wie, kto to bohater liryczny,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wyjaśnia pojęcie adresata / odbiorcy utworu,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odróżnia podmiot liryczny od adresata,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odróżnia wers od strofy (zwrotki),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wyjaśnia, czym są rym, wers, refren,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zna nazwy środków artystycznych: </w:t>
            </w:r>
            <w:r>
              <w:rPr>
                <w:rFonts w:eastAsia="Calibri" w:cs=""/>
                <w:i/>
                <w:iCs/>
                <w:kern w:val="0"/>
                <w:sz w:val="22"/>
                <w:szCs w:val="22"/>
                <w:lang w:val="pl-PL" w:eastAsia="en-US" w:bidi="ar-SA"/>
              </w:rPr>
              <w:t>epitet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, </w:t>
            </w:r>
            <w:r>
              <w:rPr>
                <w:rFonts w:eastAsia="Calibri" w:cs=""/>
                <w:i/>
                <w:iCs/>
                <w:kern w:val="0"/>
                <w:sz w:val="22"/>
                <w:szCs w:val="22"/>
                <w:lang w:val="pl-PL" w:eastAsia="en-US" w:bidi="ar-SA"/>
              </w:rPr>
              <w:t>porównanie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, </w:t>
            </w:r>
            <w:r>
              <w:rPr>
                <w:rFonts w:eastAsia="Calibri" w:cs=""/>
                <w:i/>
                <w:iCs/>
                <w:kern w:val="0"/>
                <w:sz w:val="22"/>
                <w:szCs w:val="22"/>
                <w:lang w:val="pl-PL" w:eastAsia="en-US" w:bidi="ar-SA"/>
              </w:rPr>
              <w:t>przenośnia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, </w:t>
            </w:r>
            <w:r>
              <w:rPr>
                <w:rFonts w:eastAsia="Calibri" w:cs=""/>
                <w:i/>
                <w:iCs/>
                <w:spacing w:val="-8"/>
                <w:kern w:val="0"/>
                <w:sz w:val="22"/>
                <w:szCs w:val="22"/>
                <w:lang w:val="pl-PL" w:eastAsia="en-US" w:bidi="ar-SA"/>
              </w:rPr>
              <w:t>wyraz dźwiękonaśladowczy</w:t>
            </w:r>
            <w:r>
              <w:rPr>
                <w:rFonts w:eastAsia="Calibri" w:cs=""/>
                <w:spacing w:val="-8"/>
                <w:kern w:val="0"/>
                <w:sz w:val="22"/>
                <w:szCs w:val="22"/>
                <w:lang w:val="pl-PL" w:eastAsia="en-US" w:bidi="ar-SA"/>
              </w:rPr>
              <w:t>,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eastAsia="Calibri" w:cs=""/>
                <w:i/>
                <w:iCs/>
                <w:kern w:val="0"/>
                <w:sz w:val="22"/>
                <w:szCs w:val="22"/>
                <w:lang w:val="pl-PL" w:eastAsia="en-US" w:bidi="ar-SA"/>
              </w:rPr>
              <w:t>uosobienie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, </w:t>
            </w:r>
            <w:r>
              <w:rPr>
                <w:rFonts w:eastAsia="Calibri" w:cs=""/>
                <w:i/>
                <w:iCs/>
                <w:kern w:val="0"/>
                <w:sz w:val="22"/>
                <w:szCs w:val="22"/>
                <w:lang w:val="pl-PL" w:eastAsia="en-US" w:bidi="ar-SA"/>
              </w:rPr>
              <w:t>apostrofa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, </w:t>
            </w:r>
            <w:r>
              <w:rPr>
                <w:rFonts w:eastAsia="Calibri" w:cs=""/>
                <w:i/>
                <w:iCs/>
                <w:spacing w:val="-6"/>
                <w:kern w:val="0"/>
                <w:sz w:val="22"/>
                <w:szCs w:val="22"/>
                <w:lang w:val="pl-PL" w:eastAsia="en-US" w:bidi="ar-SA"/>
              </w:rPr>
              <w:t>ożywienie</w:t>
            </w:r>
            <w:r>
              <w:rPr>
                <w:rFonts w:eastAsia="Calibri" w:cs=""/>
                <w:spacing w:val="-6"/>
                <w:kern w:val="0"/>
                <w:sz w:val="22"/>
                <w:szCs w:val="22"/>
                <w:lang w:val="pl-PL" w:eastAsia="en-US" w:bidi="ar-SA"/>
              </w:rPr>
              <w:t xml:space="preserve">, </w:t>
            </w:r>
            <w:r>
              <w:rPr>
                <w:rFonts w:eastAsia="Calibri" w:cs=""/>
                <w:i/>
                <w:iCs/>
                <w:spacing w:val="-6"/>
                <w:kern w:val="0"/>
                <w:sz w:val="22"/>
                <w:szCs w:val="22"/>
                <w:lang w:val="pl-PL" w:eastAsia="en-US" w:bidi="ar-SA"/>
              </w:rPr>
              <w:t>symbol</w:t>
            </w:r>
            <w:r>
              <w:rPr>
                <w:rFonts w:eastAsia="Calibri" w:cs=""/>
                <w:spacing w:val="-6"/>
                <w:kern w:val="0"/>
                <w:sz w:val="22"/>
                <w:szCs w:val="22"/>
                <w:lang w:val="pl-PL" w:eastAsia="en-US" w:bidi="ar-SA"/>
              </w:rPr>
              <w:t xml:space="preserve">, </w:t>
            </w:r>
            <w:r>
              <w:rPr>
                <w:rFonts w:eastAsia="Calibri" w:cs=""/>
                <w:i/>
                <w:iCs/>
                <w:spacing w:val="-6"/>
                <w:kern w:val="0"/>
                <w:sz w:val="22"/>
                <w:szCs w:val="22"/>
                <w:lang w:val="pl-PL" w:eastAsia="en-US" w:bidi="ar-SA"/>
              </w:rPr>
              <w:t>neologizm</w:t>
            </w:r>
            <w:r>
              <w:rPr>
                <w:rFonts w:eastAsia="Calibri" w:cs=""/>
                <w:spacing w:val="-6"/>
                <w:kern w:val="0"/>
                <w:sz w:val="22"/>
                <w:szCs w:val="22"/>
                <w:lang w:val="pl-PL" w:eastAsia="en-US" w:bidi="ar-SA"/>
              </w:rPr>
              <w:t>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wymienia elementy rytmizujące: wers, strofa, rym, rytm,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zna pojęcia hymnu, pieśni, fraszki, trenu,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przedstawia tematykę wiersza,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zna pojęcie ironii,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wie, jakie jest przesłanie wiersza,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nazywa wartości ważne dla podmiotu lirycznego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rozpoznaje w utworach lirycznych wartości ważne dla  Polaków,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dostrzega w omawianych</w:t>
            </w:r>
          </w:p>
          <w:p>
            <w:pPr>
              <w:pStyle w:val="ListParagraph"/>
              <w:widowControl/>
              <w:spacing w:lineRule="auto" w:line="240" w:before="0" w:after="0"/>
              <w:ind w:left="227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wierszach elementy historyczne,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wymienia autorów utworów lirycznych wskazanych w </w:t>
            </w:r>
            <w:r>
              <w:rPr>
                <w:rFonts w:eastAsia="Calibri" w:cs=""/>
                <w:i/>
                <w:iCs/>
                <w:kern w:val="0"/>
                <w:sz w:val="22"/>
                <w:szCs w:val="22"/>
                <w:lang w:val="pl-PL" w:eastAsia="en-US" w:bidi="ar-SA"/>
              </w:rPr>
              <w:t>Podstawie programowej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.</w:t>
            </w:r>
          </w:p>
        </w:tc>
        <w:tc>
          <w:tcPr>
            <w:tcW w:w="3083" w:type="dxa"/>
            <w:tcBorders>
              <w:top w:val="single" w:sz="2" w:space="0" w:color="0070C0"/>
              <w:left w:val="single" w:sz="6" w:space="0" w:color="4BACC6"/>
              <w:bottom w:val="single" w:sz="4" w:space="0" w:color="4BACC6"/>
              <w:right w:val="single" w:sz="6" w:space="0" w:color="4BACC6"/>
            </w:tcBorders>
          </w:tcPr>
          <w:p>
            <w:pPr>
              <w:pStyle w:val="Normal"/>
              <w:widowControl/>
              <w:spacing w:lineRule="auto" w:line="240" w:before="60" w:after="4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u w:val="single"/>
                <w:lang w:val="pl-PL" w:eastAsia="en-US" w:bidi="ar-SA"/>
              </w:rPr>
              <w:t>spełnia wymagania na ocenę dopuszczającą, a ponadto: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wymienia cechy poezji,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spacing w:val="-4"/>
                <w:kern w:val="0"/>
                <w:sz w:val="22"/>
                <w:szCs w:val="22"/>
                <w:lang w:val="pl-PL" w:eastAsia="en-US" w:bidi="ar-SA"/>
              </w:rPr>
              <w:t>czyta wiersz głośno i wyraźnie,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wygłasza z pamięci wskazany utwór liryczny, zwracając </w:t>
            </w:r>
            <w:r>
              <w:rPr>
                <w:rFonts w:eastAsia="Calibri" w:cs=""/>
                <w:spacing w:val="-6"/>
                <w:kern w:val="0"/>
                <w:sz w:val="22"/>
                <w:szCs w:val="22"/>
                <w:lang w:val="pl-PL" w:eastAsia="en-US" w:bidi="ar-SA"/>
              </w:rPr>
              <w:t>uwagę na znaki przestankowe,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wypowiada się na temat przeczytanego wiersza,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spacing w:val="-4"/>
                <w:kern w:val="0"/>
                <w:sz w:val="22"/>
                <w:szCs w:val="22"/>
                <w:lang w:val="pl-PL" w:eastAsia="en-US" w:bidi="ar-SA"/>
              </w:rPr>
              <w:t>podejmuje próbę uzasadnienia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 swoich wrażeń wywołanych lekturą wiersza, określa nastrój wiersza,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wskazuje w wierszu wartości ważne dla poety,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spacing w:val="-4"/>
                <w:kern w:val="0"/>
                <w:sz w:val="22"/>
                <w:szCs w:val="22"/>
                <w:lang w:val="pl-PL" w:eastAsia="en-US" w:bidi="ar-SA"/>
              </w:rPr>
              <w:t>tworzy projekt pracy (rysunek,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 drama itp.) interpretującej wiersz – przekład intersemiotyczny,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nazywa wyrazy wskazujące na osobę mówiącą w wierszu (podmiot liryczny) i adresata,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opowiada o podmiocie lirycznym, przedstawiając jego myśli i uczucia,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określa adresata wiersza,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wskazuje wers ze</w:t>
            </w:r>
            <w:r>
              <w:rPr>
                <w:rFonts w:eastAsia="Calibri" w:cs=""/>
                <w:spacing w:val="-4"/>
                <w:kern w:val="0"/>
                <w:sz w:val="22"/>
                <w:szCs w:val="22"/>
                <w:lang w:val="pl-PL" w:eastAsia="en-US" w:bidi="ar-SA"/>
              </w:rPr>
              <w:t xml:space="preserve"> zwrotem do adresata,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spacing w:val="-4"/>
                <w:kern w:val="0"/>
                <w:sz w:val="22"/>
                <w:szCs w:val="22"/>
                <w:lang w:val="pl-PL" w:eastAsia="en-US" w:bidi="ar-SA"/>
              </w:rPr>
              <w:t>wskazuje bohatera wiersza,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spacing w:val="-4"/>
                <w:kern w:val="0"/>
                <w:sz w:val="22"/>
                <w:szCs w:val="22"/>
                <w:lang w:val="pl-PL" w:eastAsia="en-US" w:bidi="ar-SA"/>
              </w:rPr>
              <w:t xml:space="preserve">rozpoznaje w wierszach epitety, porównania, wyrazy dźwiękonaśladowcze, </w:t>
            </w:r>
            <w:r>
              <w:rPr>
                <w:rFonts w:eastAsia="Calibri" w:cs=""/>
                <w:spacing w:val="-6"/>
                <w:kern w:val="0"/>
                <w:sz w:val="22"/>
                <w:szCs w:val="22"/>
                <w:lang w:val="pl-PL" w:eastAsia="en-US" w:bidi="ar-SA"/>
              </w:rPr>
              <w:t>ożywienia, symbole,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spacing w:val="-4"/>
                <w:kern w:val="0"/>
                <w:sz w:val="22"/>
                <w:szCs w:val="22"/>
                <w:lang w:val="pl-PL" w:eastAsia="en-US" w:bidi="ar-SA"/>
              </w:rPr>
              <w:t>wskazuje w wierszu rymy,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rozpoznaje elementy rytmizujące </w:t>
            </w:r>
            <w:r>
              <w:rPr>
                <w:rFonts w:eastAsia="Calibri" w:cs=""/>
                <w:spacing w:val="-4"/>
                <w:kern w:val="0"/>
                <w:sz w:val="22"/>
                <w:szCs w:val="22"/>
                <w:lang w:val="pl-PL" w:eastAsia="en-US" w:bidi="ar-SA"/>
              </w:rPr>
              <w:t>utwór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rozpoznaje hymn, pieśń, tren, fraszkę,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dzieli wersy na sylaby,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wie, na czym polega ironia i rozumie jej funkcje w utworach lirycznych,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rozpoznaje przesłanie utworu i wypowiada się na temat jego aktualności,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spacing w:val="-6"/>
                <w:kern w:val="0"/>
                <w:sz w:val="22"/>
                <w:szCs w:val="22"/>
                <w:lang w:val="pl-PL" w:eastAsia="en-US" w:bidi="ar-SA"/>
              </w:rPr>
              <w:t>na podstawie poznanych wierszy tworzy drabinę wartości ważnych dla Polaków na przestrzeni dziejów,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spacing w:val="-4"/>
                <w:kern w:val="0"/>
                <w:sz w:val="22"/>
                <w:szCs w:val="22"/>
                <w:lang w:val="pl-PL" w:eastAsia="en-US" w:bidi="ar-SA"/>
              </w:rPr>
              <w:t>wymienia wydarzenia historyczne zawarte w omawianych utworach,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rozumie słowo </w:t>
            </w:r>
            <w:r>
              <w:rPr>
                <w:rFonts w:eastAsia="Calibri" w:cs=""/>
                <w:i/>
                <w:iCs/>
                <w:kern w:val="0"/>
                <w:sz w:val="22"/>
                <w:szCs w:val="22"/>
                <w:lang w:val="pl-PL" w:eastAsia="en-US" w:bidi="ar-SA"/>
              </w:rPr>
              <w:t>kontekst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 i </w:t>
            </w:r>
            <w:r>
              <w:rPr>
                <w:rFonts w:eastAsia="Calibri" w:cs=""/>
                <w:spacing w:val="-4"/>
                <w:kern w:val="0"/>
                <w:sz w:val="22"/>
                <w:szCs w:val="22"/>
                <w:lang w:val="pl-PL" w:eastAsia="en-US" w:bidi="ar-SA"/>
              </w:rPr>
              <w:t>zna rodzaje kontekstów,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zna elementy z życia autorów </w:t>
            </w:r>
            <w:r>
              <w:rPr>
                <w:rFonts w:eastAsia="Calibri" w:cs=""/>
                <w:spacing w:val="-6"/>
                <w:kern w:val="0"/>
                <w:sz w:val="22"/>
                <w:szCs w:val="22"/>
                <w:lang w:val="pl-PL" w:eastAsia="en-US" w:bidi="ar-SA"/>
              </w:rPr>
              <w:t>utworów lirycznych wskazanych</w:t>
            </w:r>
            <w:r>
              <w:rPr>
                <w:rFonts w:eastAsia="Calibri" w:cs=""/>
                <w:spacing w:val="-2"/>
                <w:kern w:val="0"/>
                <w:sz w:val="22"/>
                <w:szCs w:val="22"/>
                <w:lang w:val="pl-PL" w:eastAsia="en-US" w:bidi="ar-SA"/>
              </w:rPr>
              <w:t xml:space="preserve"> w </w:t>
            </w:r>
            <w:r>
              <w:rPr>
                <w:rFonts w:eastAsia="Calibri" w:cs=""/>
                <w:i/>
                <w:iCs/>
                <w:spacing w:val="-2"/>
                <w:kern w:val="0"/>
                <w:sz w:val="22"/>
                <w:szCs w:val="22"/>
                <w:lang w:val="pl-PL" w:eastAsia="en-US" w:bidi="ar-SA"/>
              </w:rPr>
              <w:t>Podstawie programowej</w:t>
            </w:r>
            <w:r>
              <w:rPr>
                <w:rFonts w:eastAsia="Calibri" w:cs=""/>
                <w:spacing w:val="-2"/>
                <w:kern w:val="0"/>
                <w:sz w:val="22"/>
                <w:szCs w:val="22"/>
                <w:lang w:val="pl-PL" w:eastAsia="en-US" w:bidi="ar-SA"/>
              </w:rPr>
              <w:t>.</w:t>
            </w:r>
          </w:p>
        </w:tc>
        <w:tc>
          <w:tcPr>
            <w:tcW w:w="2975" w:type="dxa"/>
            <w:tcBorders>
              <w:top w:val="single" w:sz="2" w:space="0" w:color="0070C0"/>
              <w:left w:val="single" w:sz="6" w:space="0" w:color="4BACC6"/>
              <w:bottom w:val="single" w:sz="4" w:space="0" w:color="4BACC6"/>
              <w:right w:val="single" w:sz="6" w:space="0" w:color="4BACC6"/>
            </w:tcBorders>
          </w:tcPr>
          <w:p>
            <w:pPr>
              <w:pStyle w:val="Normal"/>
              <w:widowControl/>
              <w:spacing w:lineRule="auto" w:line="240" w:before="60" w:after="4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u w:val="single"/>
                <w:lang w:val="pl-PL" w:eastAsia="en-US" w:bidi="ar-SA"/>
              </w:rPr>
              <w:t>spełnia wymagania na ocenę dostateczną, a ponadto: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uzasadnia, dlaczego utwór należy do liryki,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czyta / wygłasza z pamięci wiersz w odpowiednim tempie, zgodnie z tematem i stylem dzieła,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określa temat wiersza,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opowiada o sytuacji przedstawionej w wierszu,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wyodrębnia obrazy poetyckie,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nazywa i uzasadnia swoje uczucia wywołane lekturą wiersza,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przedstawia, również w formie przekładu intersemiotycznego (np. rysunek, drama itp.), jak rozumie omawiany wiersz,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wskazuje cechy podmiotu lirycznego,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określa cechy bohatera wiersza,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porównuje i nazywa rymy w dwóch dowolnie wybranych strofach,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rozpoznaje w</w:t>
            </w:r>
            <w:r>
              <w:rPr>
                <w:rFonts w:eastAsia="Calibri" w:cs=""/>
                <w:spacing w:val="-4"/>
                <w:kern w:val="0"/>
                <w:sz w:val="22"/>
                <w:szCs w:val="22"/>
                <w:lang w:val="pl-PL" w:eastAsia="en-US" w:bidi="ar-SA"/>
              </w:rPr>
              <w:t xml:space="preserve"> utworach lirycznych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 przenośnie, uosobienia, </w:t>
            </w:r>
            <w:r>
              <w:rPr>
                <w:rFonts w:eastAsia="Calibri" w:cs=""/>
                <w:spacing w:val="-4"/>
                <w:kern w:val="0"/>
                <w:sz w:val="22"/>
                <w:szCs w:val="22"/>
                <w:lang w:val="pl-PL" w:eastAsia="en-US" w:bidi="ar-SA"/>
              </w:rPr>
              <w:t>neologizmy artystyczne,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rozpoznaje refren jako element rytmizujący utwór,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wymienia cechy hymnu, pieśni, trenu, fraszki,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wyjaśnia, na czym polega ironia,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dostrzega ironię w omawianych wierszach,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formułuje przesłanie utworu lirycznego i zastanawia się nad jego aktualnością,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porównuje wartości ważne dla Polaków ze swoimi wartościami,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dostrzega różne konteksty w omawianych utworach lirycznych,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odwołuje się do biografii autora w interpretacji utworów lirycznych.</w:t>
            </w:r>
          </w:p>
        </w:tc>
        <w:tc>
          <w:tcPr>
            <w:tcW w:w="2879" w:type="dxa"/>
            <w:tcBorders>
              <w:top w:val="single" w:sz="2" w:space="0" w:color="0070C0"/>
              <w:left w:val="single" w:sz="6" w:space="0" w:color="4BACC6"/>
              <w:bottom w:val="single" w:sz="4" w:space="0" w:color="4BACC6"/>
              <w:right w:val="single" w:sz="6" w:space="0" w:color="4BACC6"/>
            </w:tcBorders>
          </w:tcPr>
          <w:p>
            <w:pPr>
              <w:pStyle w:val="Normal"/>
              <w:widowControl/>
              <w:spacing w:lineRule="auto" w:line="240" w:before="60" w:after="4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u w:val="single"/>
                <w:lang w:val="pl-PL" w:eastAsia="en-US" w:bidi="ar-SA"/>
              </w:rPr>
              <w:t>spełnia wymagania na ocenę dobrą, a ponadto: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wyjaśnia, na czym polega język poezji,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spacing w:val="-6"/>
                <w:kern w:val="0"/>
                <w:sz w:val="22"/>
                <w:szCs w:val="22"/>
                <w:lang w:val="pl-PL" w:eastAsia="en-US" w:bidi="ar-SA"/>
              </w:rPr>
              <w:t xml:space="preserve">czytając / recytując wiersz, stosuje odpowiednie tempo, </w:t>
            </w:r>
            <w:r>
              <w:rPr>
                <w:rFonts w:eastAsia="Calibri" w:cs=""/>
                <w:spacing w:val="-2"/>
                <w:kern w:val="0"/>
                <w:sz w:val="22"/>
                <w:szCs w:val="22"/>
                <w:lang w:val="pl-PL" w:eastAsia="en-US" w:bidi="ar-SA"/>
              </w:rPr>
              <w:t>intonację i modulację,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dokonuje interpretacji </w:t>
            </w:r>
            <w:r>
              <w:rPr>
                <w:rFonts w:eastAsia="Calibri" w:cs=""/>
                <w:spacing w:val="-4"/>
                <w:kern w:val="0"/>
                <w:sz w:val="22"/>
                <w:szCs w:val="22"/>
                <w:lang w:val="pl-PL" w:eastAsia="en-US" w:bidi="ar-SA"/>
              </w:rPr>
              <w:t>głosowej utworu lirycznego,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spacing w:val="-6"/>
                <w:kern w:val="0"/>
                <w:sz w:val="22"/>
                <w:szCs w:val="22"/>
                <w:lang w:val="pl-PL" w:eastAsia="en-US" w:bidi="ar-SA"/>
              </w:rPr>
              <w:t>ciekawie opowiada o sytuacji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 przedstawionej w wierszu, o podmiocie lirycznym, </w:t>
            </w:r>
            <w:r>
              <w:rPr>
                <w:rFonts w:eastAsia="Calibri" w:cs=""/>
                <w:spacing w:val="-6"/>
                <w:kern w:val="0"/>
                <w:sz w:val="22"/>
                <w:szCs w:val="22"/>
                <w:lang w:val="pl-PL" w:eastAsia="en-US" w:bidi="ar-SA"/>
              </w:rPr>
              <w:t>bohaterach i ich uczuciach,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opisuje zachowanie bohatera wiersza i wyraża swoją opinię na ten temat,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porównuje doświadczenia bohatera z własnymi,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opisuje adresata wiersza,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wskazuje cytaty, dzięki którym nazywa uczucia wywołane lekturą wiersza,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wyjaśnia, jak rozumie przesłanie wiersza,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wyjaśnia znaczenie przenośne utworu lirycznego,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uzasadnia własne rozumienie wiersza,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rozpoznaje funkcje środków artystycznych w omawianych wierszach,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odróżnia informacje ważne od mniej istotnych,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wskazuje w wierszu elementy rytmizujące,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wskazuje cechy pieśni, trenu, fraszki w danym utworze,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definiuje pojęcie ironii,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omawia znaczenie ironii w danym utworze,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wyjaśnia przesłanie utworu lirycznego i ocenia jego aktualność,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omawiając utwory liryczne, nawiązuje do kontekstów: </w:t>
            </w:r>
            <w:r>
              <w:rPr>
                <w:rFonts w:eastAsia="Calibri" w:cs=""/>
                <w:spacing w:val="-8"/>
                <w:kern w:val="0"/>
                <w:sz w:val="22"/>
                <w:szCs w:val="22"/>
                <w:lang w:val="pl-PL" w:eastAsia="en-US" w:bidi="ar-SA"/>
              </w:rPr>
              <w:t>historycznego, biograficznego,</w:t>
            </w:r>
            <w:r>
              <w:rPr>
                <w:rFonts w:eastAsia="Calibri" w:cs=""/>
                <w:spacing w:val="-4"/>
                <w:kern w:val="0"/>
                <w:sz w:val="22"/>
                <w:szCs w:val="22"/>
                <w:lang w:val="pl-PL" w:eastAsia="en-US" w:bidi="ar-SA"/>
              </w:rPr>
              <w:t xml:space="preserve"> filozoficznego, kulturowego,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dostrzega i wskazuje nawiązania biograficzne w omawianych utworach lirycznych.</w:t>
            </w:r>
          </w:p>
        </w:tc>
        <w:tc>
          <w:tcPr>
            <w:tcW w:w="2871" w:type="dxa"/>
            <w:tcBorders>
              <w:top w:val="single" w:sz="2" w:space="0" w:color="0070C0"/>
              <w:left w:val="single" w:sz="6" w:space="0" w:color="4BACC6"/>
              <w:bottom w:val="single" w:sz="4" w:space="0" w:color="4BACC6"/>
              <w:right w:val="single" w:sz="4" w:space="0" w:color="4BACC6"/>
            </w:tcBorders>
          </w:tcPr>
          <w:p>
            <w:pPr>
              <w:pStyle w:val="Normal"/>
              <w:widowControl/>
              <w:spacing w:lineRule="auto" w:line="240" w:before="60" w:after="4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u w:val="single"/>
                <w:lang w:val="pl-PL" w:eastAsia="en-US" w:bidi="ar-SA"/>
              </w:rPr>
              <w:t>spełnia wymagania na ocenę bardzo dobrą, a ponadto: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prezentuje informacje na temat wiersza w dowolnie wybranej formie, w tym w formie interaktywnej,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samodzielnie analizuje i interpretuje utwór poetycki, stosując różne techniki uczenia się,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tworzy własne przykłady poznanych środków artystycznych,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wyjaśnia funkcje środków artystycznych,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omawia wyczerpująco sytuację przedstawioną w wierszu i odwołuje się do własnych doświadczeń,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interpretuje wiersz i uzasadnia swoją tezę interpretacyjną, odwołując się do elementów utworu,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charakteryzuje podmiot liryczny, odwołując się do treści wiersza,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charakteryzuje bohatera, odwołując się do treści wiersza,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porównuje podmiot liryczny z adresatem i bohaterem wiersza i przedstawia wnioski,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rozpoznaje hymn, pieśń, tren, fraszkę wśród innych gatunków literackich,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tworzy pytania do hipotezy interpretacyjnej,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 interpretacji utworów lirycznych wykorzystuje odwołania do wartości uniwersalnych związanych z postawami społecznymi, narodowymi, religijnymi, etycznymi,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6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 interpretacji utworów lirycznych wykorzystuje potrzebne konteksty, np. biograficzny, historyczny, historycznoliteracki, kulturowy, filozoficzny, społeczny.</w:t>
            </w:r>
          </w:p>
        </w:tc>
      </w:tr>
    </w:tbl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120" w:after="240"/>
        <w:rPr>
          <w:b/>
          <w:bCs/>
          <w:color w:val="FFC000"/>
          <w:sz w:val="32"/>
          <w:szCs w:val="32"/>
        </w:rPr>
      </w:pPr>
      <w:r>
        <w:rPr>
          <w:b/>
          <w:bCs/>
          <w:color w:val="FFC000"/>
          <w:sz w:val="32"/>
          <w:szCs w:val="32"/>
        </w:rPr>
      </w:r>
    </w:p>
    <w:p>
      <w:pPr>
        <w:pStyle w:val="Normal"/>
        <w:spacing w:before="120" w:after="240"/>
        <w:rPr>
          <w:b/>
          <w:bCs/>
          <w:color w:val="FFC000"/>
          <w:sz w:val="32"/>
          <w:szCs w:val="32"/>
        </w:rPr>
      </w:pPr>
      <w:r>
        <w:rPr>
          <w:b/>
          <w:bCs/>
          <w:color w:val="FFC000"/>
          <w:sz w:val="32"/>
          <w:szCs w:val="32"/>
        </w:rPr>
      </w:r>
    </w:p>
    <w:p>
      <w:pPr>
        <w:pStyle w:val="Normal"/>
        <w:spacing w:before="120" w:after="240"/>
        <w:rPr>
          <w:b/>
          <w:bCs/>
          <w:color w:val="FFC000"/>
          <w:sz w:val="32"/>
          <w:szCs w:val="32"/>
        </w:rPr>
      </w:pPr>
      <w:r>
        <w:rPr>
          <w:b/>
          <w:bCs/>
          <w:color w:val="FFC000"/>
          <w:sz w:val="32"/>
          <w:szCs w:val="32"/>
        </w:rPr>
      </w:r>
    </w:p>
    <w:p>
      <w:pPr>
        <w:pStyle w:val="Normal"/>
        <w:spacing w:before="120" w:after="240"/>
        <w:rPr>
          <w:b/>
          <w:bCs/>
          <w:color w:val="FFC000"/>
          <w:sz w:val="32"/>
          <w:szCs w:val="32"/>
        </w:rPr>
      </w:pPr>
      <w:r>
        <w:rPr>
          <w:b/>
          <w:bCs/>
          <w:color w:val="FFC000"/>
          <w:sz w:val="32"/>
          <w:szCs w:val="32"/>
        </w:rPr>
      </w:r>
    </w:p>
    <w:p>
      <w:pPr>
        <w:pStyle w:val="Normal"/>
        <w:spacing w:before="120" w:after="240"/>
        <w:rPr>
          <w:b/>
          <w:bCs/>
          <w:color w:val="FFC000"/>
          <w:sz w:val="32"/>
          <w:szCs w:val="32"/>
        </w:rPr>
      </w:pPr>
      <w:r>
        <w:rPr>
          <w:b/>
          <w:bCs/>
          <w:color w:val="FFC000"/>
          <w:sz w:val="32"/>
          <w:szCs w:val="32"/>
        </w:rPr>
        <w:t>I.1. Czytanie utworów literackich – epika</w:t>
      </w:r>
    </w:p>
    <w:tbl>
      <w:tblPr>
        <w:tblStyle w:val="Tabela-Siatka"/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62"/>
        <w:gridCol w:w="3083"/>
        <w:gridCol w:w="2975"/>
        <w:gridCol w:w="2879"/>
        <w:gridCol w:w="2871"/>
      </w:tblGrid>
      <w:tr>
        <w:trPr>
          <w:tblHeader w:val="true"/>
          <w:trHeight w:val="205" w:hRule="atLeast"/>
          <w:cantSplit w:val="true"/>
        </w:trPr>
        <w:tc>
          <w:tcPr>
            <w:tcW w:w="14570" w:type="dxa"/>
            <w:gridSpan w:val="5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60" w:after="0"/>
              <w:jc w:val="center"/>
              <w:rPr>
                <w:rFonts w:cs="Calibri" w:cstheme="minorHAnsi"/>
                <w:b/>
                <w:bCs/>
                <w:color w:themeColor="background1" w:val="FFFFFF"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4"/>
                <w:szCs w:val="24"/>
                <w:lang w:val="pl-PL" w:eastAsia="en-US" w:bidi="ar-SA"/>
              </w:rPr>
              <w:t xml:space="preserve">Treści nauczania wskazane w </w:t>
            </w:r>
            <w:r>
              <w:rPr>
                <w:rFonts w:eastAsia="Calibri" w:cs="Calibri" w:cstheme="minorHAnsi"/>
                <w:b/>
                <w:bCs/>
                <w:i/>
                <w:iCs/>
                <w:color w:themeColor="background1" w:val="FFFFFF"/>
                <w:kern w:val="0"/>
                <w:sz w:val="24"/>
                <w:szCs w:val="24"/>
                <w:lang w:val="pl-PL" w:eastAsia="en-US" w:bidi="ar-SA"/>
              </w:rPr>
              <w:t xml:space="preserve">Podstawie programowej dla II etapu edukacyjnego </w:t>
            </w: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4"/>
                <w:szCs w:val="24"/>
                <w:lang w:val="pl-PL" w:eastAsia="en-US" w:bidi="ar-SA"/>
              </w:rPr>
              <w:t>(klasy 4–8)</w:t>
            </w:r>
          </w:p>
          <w:p>
            <w:pPr>
              <w:pStyle w:val="Normal"/>
              <w:widowControl/>
              <w:spacing w:lineRule="auto" w:line="240" w:before="0" w:after="60"/>
              <w:jc w:val="center"/>
              <w:rPr>
                <w:rFonts w:cs="Calibri" w:cstheme="minorHAnsi"/>
                <w:b/>
                <w:bC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4"/>
                <w:szCs w:val="24"/>
                <w:lang w:val="pl-PL" w:eastAsia="en-US" w:bidi="ar-SA"/>
              </w:rPr>
              <w:t xml:space="preserve">i zawarte w podręczniku </w:t>
            </w:r>
            <w:r>
              <w:rPr>
                <w:rFonts w:eastAsia="Calibri" w:cs="Calibri" w:cstheme="minorHAnsi"/>
                <w:b/>
                <w:bCs/>
                <w:i/>
                <w:iCs/>
                <w:color w:themeColor="background1" w:val="FFFFFF"/>
                <w:kern w:val="0"/>
                <w:sz w:val="24"/>
                <w:szCs w:val="24"/>
                <w:lang w:val="pl-PL" w:eastAsia="en-US" w:bidi="ar-SA"/>
              </w:rPr>
              <w:t>Zamieńmy słowo</w:t>
            </w: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4"/>
                <w:szCs w:val="24"/>
                <w:lang w:val="pl-PL" w:eastAsia="en-US" w:bidi="ar-SA"/>
              </w:rPr>
              <w:t xml:space="preserve"> dla klasy 8</w:t>
            </w:r>
          </w:p>
        </w:tc>
      </w:tr>
      <w:tr>
        <w:trPr>
          <w:tblHeader w:val="true"/>
          <w:trHeight w:val="340" w:hRule="atLeast"/>
          <w:cantSplit w:val="true"/>
        </w:trPr>
        <w:tc>
          <w:tcPr>
            <w:tcW w:w="2762" w:type="dxa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2"/>
                <w:szCs w:val="22"/>
                <w:lang w:val="pl-PL" w:eastAsia="en-US" w:bidi="ar-SA"/>
              </w:rPr>
              <w:t>ocena dopuszczająca</w:t>
            </w:r>
          </w:p>
        </w:tc>
        <w:tc>
          <w:tcPr>
            <w:tcW w:w="3083" w:type="dxa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2"/>
                <w:szCs w:val="22"/>
                <w:lang w:val="pl-PL" w:eastAsia="en-US" w:bidi="ar-SA"/>
              </w:rPr>
              <w:t>ocena dostateczna</w:t>
            </w:r>
          </w:p>
        </w:tc>
        <w:tc>
          <w:tcPr>
            <w:tcW w:w="2975" w:type="dxa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2"/>
                <w:szCs w:val="22"/>
                <w:lang w:val="pl-PL" w:eastAsia="en-US" w:bidi="ar-SA"/>
              </w:rPr>
              <w:t>ocena dobra</w:t>
            </w:r>
          </w:p>
        </w:tc>
        <w:tc>
          <w:tcPr>
            <w:tcW w:w="2879" w:type="dxa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2"/>
                <w:szCs w:val="22"/>
                <w:lang w:val="pl-PL" w:eastAsia="en-US" w:bidi="ar-SA"/>
              </w:rPr>
              <w:t>ocena bardzo dobra</w:t>
            </w:r>
          </w:p>
        </w:tc>
        <w:tc>
          <w:tcPr>
            <w:tcW w:w="2871" w:type="dxa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2"/>
                <w:szCs w:val="22"/>
                <w:lang w:val="pl-PL" w:eastAsia="en-US" w:bidi="ar-SA"/>
              </w:rPr>
              <w:t>ocena celująca</w:t>
            </w:r>
          </w:p>
        </w:tc>
      </w:tr>
      <w:tr>
        <w:trPr>
          <w:tblHeader w:val="true"/>
          <w:trHeight w:val="340" w:hRule="atLeast"/>
          <w:cantSplit w:val="true"/>
        </w:trPr>
        <w:tc>
          <w:tcPr>
            <w:tcW w:w="14570" w:type="dxa"/>
            <w:gridSpan w:val="5"/>
            <w:tcBorders>
              <w:top w:val="single" w:sz="4" w:space="0" w:color="FFFFFF"/>
              <w:left w:val="single" w:sz="6" w:space="0" w:color="FFFFFF"/>
              <w:bottom w:val="single" w:sz="2" w:space="0" w:color="0070C0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2"/>
                <w:szCs w:val="22"/>
                <w:lang w:val="pl-PL" w:eastAsia="en-US" w:bidi="ar-SA"/>
              </w:rPr>
              <w:t>Uczeń</w:t>
            </w:r>
          </w:p>
        </w:tc>
      </w:tr>
      <w:tr>
        <w:trPr>
          <w:tblHeader w:val="true"/>
          <w:trHeight w:val="397" w:hRule="atLeast"/>
          <w:cantSplit w:val="true"/>
        </w:trPr>
        <w:tc>
          <w:tcPr>
            <w:tcW w:w="14570" w:type="dxa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color="auto" w:fill="B6DDE8" w:themeFill="accent5" w:themeFillTint="66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cap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aps/>
                <w:kern w:val="0"/>
                <w:sz w:val="22"/>
                <w:szCs w:val="22"/>
                <w:lang w:val="pl-PL" w:eastAsia="en-US" w:bidi="ar-SA"/>
              </w:rPr>
              <w:t>Utwory epickie</w:t>
            </w:r>
          </w:p>
        </w:tc>
      </w:tr>
      <w:tr>
        <w:trPr>
          <w:trHeight w:val="2356" w:hRule="atLeast"/>
        </w:trPr>
        <w:tc>
          <w:tcPr>
            <w:tcW w:w="2762" w:type="dxa"/>
            <w:tcBorders>
              <w:top w:val="single" w:sz="2" w:space="0" w:color="0070C0"/>
              <w:left w:val="single" w:sz="4" w:space="0" w:color="4BACC6"/>
              <w:bottom w:val="single" w:sz="4" w:space="0" w:color="4BACC6"/>
              <w:right w:val="single" w:sz="6" w:space="0" w:color="4BACC6"/>
            </w:tcBorders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6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wie, że epika jest jednym z rodzajów literackich,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odróżnia utwór epicki od utworu lirycznego i dramatu,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wymienia elementy świata przedstawionego: czas, miejsce akcji, bohaterowie, wydarzenia,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spacing w:val="-2"/>
              </w:rPr>
            </w:pPr>
            <w:r>
              <w:rPr>
                <w:rFonts w:eastAsia="Calibri" w:cs=""/>
                <w:spacing w:val="-2"/>
                <w:kern w:val="0"/>
                <w:sz w:val="22"/>
                <w:szCs w:val="22"/>
                <w:lang w:val="pl-PL" w:eastAsia="en-US" w:bidi="ar-SA"/>
              </w:rPr>
              <w:t>rozpoznaje fikcję literacką,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wskazuje elementy</w:t>
            </w:r>
          </w:p>
          <w:p>
            <w:pPr>
              <w:pStyle w:val="ListParagraph"/>
              <w:widowControl/>
              <w:spacing w:lineRule="auto" w:line="240" w:before="0" w:after="0"/>
              <w:ind w:left="227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realistyczne (rzeczywiste)</w:t>
            </w:r>
          </w:p>
          <w:p>
            <w:pPr>
              <w:pStyle w:val="ListParagraph"/>
              <w:widowControl/>
              <w:spacing w:lineRule="auto" w:line="240" w:before="0" w:after="0"/>
              <w:ind w:left="227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 omawianych utworach epickich,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zna gatunki epickie: mit, bajka, baśń, legenda, przypowieść, opowiadanie, nowela, powieść, epopeja,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wymienia tytuł jako element budowy</w:t>
            </w:r>
          </w:p>
          <w:p>
            <w:pPr>
              <w:pStyle w:val="ListParagraph"/>
              <w:widowControl/>
              <w:spacing w:lineRule="auto" w:line="240" w:before="0" w:after="0"/>
              <w:ind w:left="227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utworu epickiego,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wymienia wybrane</w:t>
            </w:r>
          </w:p>
          <w:p>
            <w:pPr>
              <w:pStyle w:val="ListParagraph"/>
              <w:widowControl/>
              <w:spacing w:lineRule="auto" w:line="240" w:before="0" w:after="0"/>
              <w:ind w:left="227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wydarzenia tworzące akcję utworu,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rozpoznaje, kim jest osoba wypowiadająca się w utworze epickim,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rozpoznaje i wymienia bohaterów utworu,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zna pojęcia: </w:t>
            </w:r>
            <w:r>
              <w:rPr>
                <w:rFonts w:eastAsia="Calibri" w:cs=""/>
                <w:i/>
                <w:iCs/>
                <w:kern w:val="0"/>
                <w:sz w:val="22"/>
                <w:szCs w:val="22"/>
                <w:lang w:val="pl-PL" w:eastAsia="en-US" w:bidi="ar-SA"/>
              </w:rPr>
              <w:t>narrator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 i </w:t>
            </w:r>
            <w:r>
              <w:rPr>
                <w:rFonts w:eastAsia="Calibri" w:cs=""/>
                <w:i/>
                <w:iCs/>
                <w:kern w:val="0"/>
                <w:sz w:val="22"/>
                <w:szCs w:val="22"/>
                <w:lang w:val="pl-PL" w:eastAsia="en-US" w:bidi="ar-SA"/>
              </w:rPr>
              <w:t>narracja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rozpoznaje w utworze wątek główny,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nazywa swoje wrażenia </w:t>
            </w:r>
            <w:r>
              <w:rPr>
                <w:rFonts w:eastAsia="Calibri" w:cs=""/>
                <w:spacing w:val="-4"/>
                <w:kern w:val="0"/>
                <w:sz w:val="22"/>
                <w:szCs w:val="22"/>
                <w:lang w:val="pl-PL" w:eastAsia="en-US" w:bidi="ar-SA"/>
              </w:rPr>
              <w:t>wywołane lekturą tekstu,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rozpoznaje w tekście znaczenia dosłowne,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opowiada ustnie o treści utworu, zachowując kolejność zdarzeń,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wie, że tekst może mieć</w:t>
            </w:r>
          </w:p>
          <w:p>
            <w:pPr>
              <w:pStyle w:val="ListParagraph"/>
              <w:widowControl/>
              <w:spacing w:lineRule="auto" w:line="240" w:before="0" w:after="0"/>
              <w:ind w:left="227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znaczenie przenośne,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wie, czym jest alegoria i symbol w utworze epickim,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wymienia cechy postawy bohatera,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wie, jakie jest przesłanie utworu epickiego,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rozpoznaje w utworach epickich wartości ważne dla  Polaków,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dostrzega w omawianych</w:t>
            </w:r>
          </w:p>
          <w:p>
            <w:pPr>
              <w:pStyle w:val="ListParagraph"/>
              <w:widowControl/>
              <w:spacing w:lineRule="auto" w:line="240" w:before="0" w:after="0"/>
              <w:ind w:left="227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utworach epickich elementy historyczne,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wymienia autorów utworów epickich wskazanych w </w:t>
            </w:r>
            <w:r>
              <w:rPr>
                <w:rFonts w:eastAsia="Calibri" w:cs=""/>
                <w:i/>
                <w:iCs/>
                <w:kern w:val="0"/>
                <w:sz w:val="22"/>
                <w:szCs w:val="22"/>
                <w:lang w:val="pl-PL" w:eastAsia="en-US" w:bidi="ar-SA"/>
              </w:rPr>
              <w:t>Podstawie programowej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.</w:t>
            </w:r>
          </w:p>
        </w:tc>
        <w:tc>
          <w:tcPr>
            <w:tcW w:w="3083" w:type="dxa"/>
            <w:tcBorders>
              <w:top w:val="single" w:sz="2" w:space="0" w:color="0070C0"/>
              <w:left w:val="single" w:sz="6" w:space="0" w:color="4BACC6"/>
              <w:bottom w:val="single" w:sz="4" w:space="0" w:color="4BACC6"/>
              <w:right w:val="single" w:sz="6" w:space="0" w:color="4BACC6"/>
            </w:tcBorders>
          </w:tcPr>
          <w:p>
            <w:pPr>
              <w:pStyle w:val="Normal"/>
              <w:widowControl/>
              <w:spacing w:lineRule="auto" w:line="240" w:before="60" w:after="40"/>
              <w:jc w:val="left"/>
              <w:rPr>
                <w:u w:val="single"/>
              </w:rPr>
            </w:pPr>
            <w:r>
              <w:rPr>
                <w:rFonts w:eastAsia="Calibri" w:cs=""/>
                <w:kern w:val="0"/>
                <w:sz w:val="22"/>
                <w:szCs w:val="22"/>
                <w:u w:val="single"/>
                <w:lang w:val="pl-PL" w:eastAsia="en-US" w:bidi="ar-SA"/>
              </w:rPr>
              <w:t>spełnia wymagania na ocenę dopuszczającą, a ponadto: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wymienia cechy utworu epickiego,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opisuje wybrane elementy świata przedstawionego,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wskazuje elementy</w:t>
            </w:r>
          </w:p>
          <w:p>
            <w:pPr>
              <w:pStyle w:val="ListParagraph"/>
              <w:widowControl/>
              <w:spacing w:lineRule="auto" w:line="240" w:before="0" w:after="0"/>
              <w:ind w:left="227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realistyczne i fantastyczne w utworach epickich,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wymienia cechy gatunkowe mitu, bajki, baśni, legendy, przypowieści, opowiadania, noweli, powieści, epopei,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wyszukuje w tekście określone informacje,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wskazuje tytuł jako element budowy utworu epickiego,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ustala kolejność zdarzeń,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nazywa rodzaj narratora</w:t>
            </w:r>
          </w:p>
          <w:p>
            <w:pPr>
              <w:pStyle w:val="ListParagraph"/>
              <w:widowControl/>
              <w:spacing w:lineRule="auto" w:line="240" w:before="0" w:after="0"/>
              <w:ind w:left="227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i narracji,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rozpoznaje rodzaje  bohaterów w utworze,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przedstawia wybranego bohatera,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wymienia niektóre cechy bohaterów,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rozpoznaje wątki poboczne,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wypowiada się na temat przeczytanego utworu,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wskazuje wartości ważne dla</w:t>
            </w:r>
          </w:p>
          <w:p>
            <w:pPr>
              <w:pStyle w:val="ListParagraph"/>
              <w:widowControl/>
              <w:spacing w:lineRule="auto" w:line="240" w:before="0" w:after="0"/>
              <w:ind w:left="227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bohaterów,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omawia postawę bohatera,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rozpoznaje w utworze ważne informacje,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spacing w:val="-4"/>
                <w:kern w:val="0"/>
                <w:sz w:val="22"/>
                <w:szCs w:val="22"/>
                <w:lang w:val="pl-PL" w:eastAsia="en-US" w:bidi="ar-SA"/>
              </w:rPr>
              <w:t>tworzy projekt pracy (rysunek,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eastAsia="Calibri" w:cs=""/>
                <w:spacing w:val="-6"/>
                <w:kern w:val="0"/>
                <w:sz w:val="22"/>
                <w:szCs w:val="22"/>
                <w:lang w:val="pl-PL" w:eastAsia="en-US" w:bidi="ar-SA"/>
              </w:rPr>
              <w:t>drama, spektakl teatralny itp.) będącej interpretacją utworu – przekład intersemiotyczny,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dostrzega przenośny sens opowieści z Biblii,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spacing w:val="-2"/>
              </w:rPr>
            </w:pPr>
            <w:r>
              <w:rPr>
                <w:rFonts w:eastAsia="Calibri" w:cs=""/>
                <w:spacing w:val="-2"/>
                <w:kern w:val="0"/>
                <w:sz w:val="22"/>
                <w:szCs w:val="22"/>
                <w:lang w:val="pl-PL" w:eastAsia="en-US" w:bidi="ar-SA"/>
              </w:rPr>
              <w:t>rozpoznaje w tekście alegorię i symbol,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spacing w:val="-4"/>
              </w:rPr>
            </w:pPr>
            <w:r>
              <w:rPr>
                <w:rFonts w:eastAsia="Calibri" w:cs=""/>
                <w:spacing w:val="-4"/>
                <w:kern w:val="0"/>
                <w:sz w:val="22"/>
                <w:szCs w:val="22"/>
                <w:lang w:val="pl-PL" w:eastAsia="en-US" w:bidi="ar-SA"/>
              </w:rPr>
              <w:t>rozpoznaje przesłanie utworu,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spacing w:val="-6"/>
              </w:rPr>
            </w:pPr>
            <w:r>
              <w:rPr>
                <w:rFonts w:eastAsia="Calibri" w:cs=""/>
                <w:spacing w:val="-6"/>
                <w:kern w:val="0"/>
                <w:sz w:val="22"/>
                <w:szCs w:val="22"/>
                <w:lang w:val="pl-PL" w:eastAsia="en-US" w:bidi="ar-SA"/>
              </w:rPr>
              <w:t>na podstawie poznanych tekstów tworzy drabinę wartości ważnych dla Polaków na przestrzeni dziejów,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spacing w:val="-4"/>
              </w:rPr>
            </w:pPr>
            <w:r>
              <w:rPr>
                <w:rFonts w:eastAsia="Calibri" w:cs=""/>
                <w:spacing w:val="-4"/>
                <w:kern w:val="0"/>
                <w:sz w:val="22"/>
                <w:szCs w:val="22"/>
                <w:lang w:val="pl-PL" w:eastAsia="en-US" w:bidi="ar-SA"/>
              </w:rPr>
              <w:t>wymienia wydarzenia historyczne zawarte w omówionych tekstach,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rozumie słowo </w:t>
            </w:r>
            <w:r>
              <w:rPr>
                <w:rFonts w:eastAsia="Calibri" w:cs=""/>
                <w:i/>
                <w:iCs/>
                <w:kern w:val="0"/>
                <w:sz w:val="22"/>
                <w:szCs w:val="22"/>
                <w:lang w:val="pl-PL" w:eastAsia="en-US" w:bidi="ar-SA"/>
              </w:rPr>
              <w:t>kontekst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 i </w:t>
            </w:r>
            <w:r>
              <w:rPr>
                <w:rFonts w:eastAsia="Calibri" w:cs=""/>
                <w:spacing w:val="-4"/>
                <w:kern w:val="0"/>
                <w:sz w:val="22"/>
                <w:szCs w:val="22"/>
                <w:lang w:val="pl-PL" w:eastAsia="en-US" w:bidi="ar-SA"/>
              </w:rPr>
              <w:t>zna rodzaje kontekstów w utworach epickich,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zna elementy z życia autorów </w:t>
            </w:r>
            <w:r>
              <w:rPr>
                <w:rFonts w:eastAsia="Calibri" w:cs=""/>
                <w:spacing w:val="-6"/>
                <w:kern w:val="0"/>
                <w:sz w:val="22"/>
                <w:szCs w:val="22"/>
                <w:lang w:val="pl-PL" w:eastAsia="en-US" w:bidi="ar-SA"/>
              </w:rPr>
              <w:t>utworów epickich wskazanych</w:t>
            </w:r>
            <w:r>
              <w:rPr>
                <w:rFonts w:eastAsia="Calibri" w:cs=""/>
                <w:spacing w:val="-2"/>
                <w:kern w:val="0"/>
                <w:sz w:val="22"/>
                <w:szCs w:val="22"/>
                <w:lang w:val="pl-PL" w:eastAsia="en-US" w:bidi="ar-SA"/>
              </w:rPr>
              <w:t xml:space="preserve"> w </w:t>
            </w:r>
            <w:r>
              <w:rPr>
                <w:rFonts w:eastAsia="Calibri" w:cs=""/>
                <w:i/>
                <w:iCs/>
                <w:spacing w:val="-2"/>
                <w:kern w:val="0"/>
                <w:sz w:val="22"/>
                <w:szCs w:val="22"/>
                <w:lang w:val="pl-PL" w:eastAsia="en-US" w:bidi="ar-SA"/>
              </w:rPr>
              <w:t>Podstawie programowej</w:t>
            </w:r>
            <w:r>
              <w:rPr>
                <w:rFonts w:eastAsia="Calibri" w:cs=""/>
                <w:spacing w:val="-2"/>
                <w:kern w:val="0"/>
                <w:sz w:val="22"/>
                <w:szCs w:val="22"/>
                <w:lang w:val="pl-PL" w:eastAsia="en-US" w:bidi="ar-SA"/>
              </w:rPr>
              <w:t>.</w:t>
            </w:r>
          </w:p>
        </w:tc>
        <w:tc>
          <w:tcPr>
            <w:tcW w:w="2975" w:type="dxa"/>
            <w:tcBorders>
              <w:top w:val="single" w:sz="2" w:space="0" w:color="0070C0"/>
              <w:left w:val="single" w:sz="6" w:space="0" w:color="4BACC6"/>
              <w:bottom w:val="single" w:sz="4" w:space="0" w:color="4BACC6"/>
              <w:right w:val="single" w:sz="6" w:space="0" w:color="4BACC6"/>
            </w:tcBorders>
          </w:tcPr>
          <w:p>
            <w:pPr>
              <w:pStyle w:val="Normal"/>
              <w:widowControl/>
              <w:spacing w:lineRule="auto" w:line="240" w:before="60" w:after="40"/>
              <w:jc w:val="left"/>
              <w:rPr>
                <w:u w:val="single"/>
              </w:rPr>
            </w:pPr>
            <w:r>
              <w:rPr>
                <w:rFonts w:eastAsia="Calibri" w:cs=""/>
                <w:kern w:val="0"/>
                <w:sz w:val="22"/>
                <w:szCs w:val="22"/>
                <w:u w:val="single"/>
                <w:lang w:val="pl-PL" w:eastAsia="en-US" w:bidi="ar-SA"/>
              </w:rPr>
              <w:t>spełnia wymagania na ocenę dostateczną, a ponadto: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czyta głośno, wyraźnie, z odpowiednią artykulacją i uwzględnieniem znaków interpunkcyjnych,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rozpoznaje rodzaj literacki</w:t>
            </w:r>
          </w:p>
          <w:p>
            <w:pPr>
              <w:pStyle w:val="ListParagraph"/>
              <w:widowControl/>
              <w:spacing w:lineRule="auto" w:line="240" w:before="0" w:after="0"/>
              <w:ind w:left="227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czytanego tekstu – epika,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rozpoznaje czytany utwór jako mit, bajkę, baśń, legendę, przypowieść, opowiadanie, nowelę, powieść, epopeję,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opowiada o elementach świata przedstawionego,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odróżnia elementy realistyczne od fantastycznych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20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zna elementy konstrukcyjne utworu epickiego,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opowiada o wybranych wydarzeniach fabuły,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charakteryzuje  narratora utworu,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określa, czy dany bohater </w:t>
            </w:r>
            <w:r>
              <w:rPr>
                <w:rFonts w:eastAsia="Calibri" w:cs=""/>
                <w:spacing w:val="-6"/>
                <w:kern w:val="0"/>
                <w:sz w:val="22"/>
                <w:szCs w:val="22"/>
                <w:lang w:val="pl-PL" w:eastAsia="en-US" w:bidi="ar-SA"/>
              </w:rPr>
              <w:t>jest główny czy drugoplanowy,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wymienia większość cech</w:t>
            </w:r>
          </w:p>
          <w:p>
            <w:pPr>
              <w:pStyle w:val="ListParagraph"/>
              <w:widowControl/>
              <w:spacing w:lineRule="auto" w:line="240" w:before="0" w:after="0"/>
              <w:ind w:left="227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bohaterów,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spacing w:val="-6"/>
              </w:rPr>
            </w:pPr>
            <w:r>
              <w:rPr>
                <w:rFonts w:eastAsia="Calibri" w:cs=""/>
                <w:spacing w:val="-6"/>
                <w:kern w:val="0"/>
                <w:sz w:val="22"/>
                <w:szCs w:val="22"/>
                <w:lang w:val="pl-PL" w:eastAsia="en-US" w:bidi="ar-SA"/>
              </w:rPr>
              <w:t>zbiera informacje o bohaterze,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uzasadnia rodzaj narracji:</w:t>
            </w:r>
          </w:p>
          <w:p>
            <w:pPr>
              <w:pStyle w:val="ListParagraph"/>
              <w:widowControl/>
              <w:spacing w:lineRule="auto" w:line="240" w:before="0" w:after="0"/>
              <w:ind w:left="227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pierwszoosobowej i trzecioosobowej,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omawia wątek główny,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określa doświadczenia</w:t>
            </w:r>
          </w:p>
          <w:p>
            <w:pPr>
              <w:pStyle w:val="ListParagraph"/>
              <w:widowControl/>
              <w:spacing w:lineRule="auto" w:line="240" w:before="0" w:after="0"/>
              <w:ind w:left="227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bohaterów,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prezentuje własne</w:t>
            </w:r>
          </w:p>
          <w:p>
            <w:pPr>
              <w:pStyle w:val="ListParagraph"/>
              <w:widowControl/>
              <w:spacing w:lineRule="auto" w:line="240" w:before="0" w:after="0"/>
              <w:ind w:left="227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rozumienie utworu,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ocenia bohaterów,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rozpoznaje informacje mniej</w:t>
            </w:r>
          </w:p>
          <w:p>
            <w:pPr>
              <w:pStyle w:val="ListParagraph"/>
              <w:widowControl/>
              <w:spacing w:lineRule="auto" w:line="240" w:before="0" w:after="0"/>
              <w:ind w:left="227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ważne w utworze,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rozpoznaje fakty i opinie,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odczytuje omawiane teksty na podstawie stworzonego</w:t>
            </w:r>
          </w:p>
          <w:p>
            <w:pPr>
              <w:pStyle w:val="ListParagraph"/>
              <w:widowControl/>
              <w:spacing w:lineRule="auto" w:line="240" w:before="0" w:after="0"/>
              <w:ind w:left="227"/>
              <w:contextualSpacing/>
              <w:jc w:val="left"/>
              <w:rPr>
                <w:spacing w:val="-8"/>
              </w:rPr>
            </w:pPr>
            <w:r>
              <w:rPr>
                <w:rFonts w:eastAsia="Calibri" w:cs=""/>
                <w:spacing w:val="-8"/>
                <w:kern w:val="0"/>
                <w:sz w:val="22"/>
                <w:szCs w:val="22"/>
                <w:lang w:val="pl-PL" w:eastAsia="en-US" w:bidi="ar-SA"/>
              </w:rPr>
              <w:t>przekładu intersemiotycznego,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spacing w:val="-4"/>
              </w:rPr>
            </w:pPr>
            <w:r>
              <w:rPr>
                <w:rFonts w:eastAsia="Calibri" w:cs=""/>
                <w:spacing w:val="-4"/>
                <w:kern w:val="0"/>
                <w:sz w:val="22"/>
                <w:szCs w:val="22"/>
                <w:lang w:val="pl-PL" w:eastAsia="en-US" w:bidi="ar-SA"/>
              </w:rPr>
              <w:t>omawia przenośne znaczenia opowieści biblijnych,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podaje przykłady alegorii i symbolu,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zna przyczyny niepowodzeń</w:t>
            </w:r>
          </w:p>
          <w:p>
            <w:pPr>
              <w:pStyle w:val="ListParagraph"/>
              <w:widowControl/>
              <w:spacing w:lineRule="auto" w:line="240" w:before="0" w:after="0"/>
              <w:ind w:left="227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bohatera,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wypowiada się na temat</w:t>
            </w:r>
          </w:p>
          <w:p>
            <w:pPr>
              <w:pStyle w:val="ListParagraph"/>
              <w:widowControl/>
              <w:spacing w:lineRule="auto" w:line="240" w:before="0" w:after="0"/>
              <w:ind w:left="227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przesłania utworu,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porównuje wartości ważne dla Polaków ze swoimi wartościami,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dostrzega różne konteksty w omawianych utworach epickich,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posługuje się biografią autora w interpretacji utworów epickich.</w:t>
            </w:r>
          </w:p>
        </w:tc>
        <w:tc>
          <w:tcPr>
            <w:tcW w:w="2879" w:type="dxa"/>
            <w:tcBorders>
              <w:top w:val="single" w:sz="2" w:space="0" w:color="0070C0"/>
              <w:left w:val="single" w:sz="6" w:space="0" w:color="4BACC6"/>
              <w:bottom w:val="single" w:sz="4" w:space="0" w:color="4BACC6"/>
              <w:right w:val="single" w:sz="6" w:space="0" w:color="4BACC6"/>
            </w:tcBorders>
          </w:tcPr>
          <w:p>
            <w:pPr>
              <w:pStyle w:val="Normal"/>
              <w:widowControl/>
              <w:spacing w:lineRule="auto" w:line="240" w:before="60" w:after="40"/>
              <w:jc w:val="left"/>
              <w:rPr>
                <w:u w:val="single"/>
              </w:rPr>
            </w:pPr>
            <w:r>
              <w:rPr>
                <w:rFonts w:eastAsia="Calibri" w:cs=""/>
                <w:kern w:val="0"/>
                <w:sz w:val="22"/>
                <w:szCs w:val="22"/>
                <w:u w:val="single"/>
                <w:lang w:val="pl-PL" w:eastAsia="en-US" w:bidi="ar-SA"/>
              </w:rPr>
              <w:t>spełnia wymagania na ocenę dobrą, a ponadto: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analizuje  elementy świata</w:t>
            </w:r>
          </w:p>
          <w:p>
            <w:pPr>
              <w:pStyle w:val="ListParagraph"/>
              <w:widowControl/>
              <w:spacing w:lineRule="auto" w:line="240" w:before="0" w:after="0"/>
              <w:ind w:left="227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przedstawionego i wyciąga</w:t>
            </w:r>
          </w:p>
          <w:p>
            <w:pPr>
              <w:pStyle w:val="ListParagraph"/>
              <w:widowControl/>
              <w:spacing w:lineRule="auto" w:line="240" w:before="0" w:after="0"/>
              <w:ind w:left="227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wnioski,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spacing w:val="-4"/>
              </w:rPr>
            </w:pPr>
            <w:r>
              <w:rPr>
                <w:rFonts w:eastAsia="Calibri" w:cs=""/>
                <w:spacing w:val="-4"/>
                <w:kern w:val="0"/>
                <w:sz w:val="22"/>
                <w:szCs w:val="22"/>
                <w:lang w:val="pl-PL" w:eastAsia="en-US" w:bidi="ar-SA"/>
              </w:rPr>
              <w:t>wyjaśnia różnice miedzy</w:t>
            </w:r>
          </w:p>
          <w:p>
            <w:pPr>
              <w:pStyle w:val="ListParagraph"/>
              <w:widowControl/>
              <w:spacing w:lineRule="auto" w:line="240" w:before="0" w:after="0"/>
              <w:ind w:left="227"/>
              <w:contextualSpacing/>
              <w:jc w:val="left"/>
              <w:rPr>
                <w:spacing w:val="-4"/>
              </w:rPr>
            </w:pPr>
            <w:r>
              <w:rPr>
                <w:rFonts w:eastAsia="Calibri" w:cs=""/>
                <w:spacing w:val="-4"/>
                <w:kern w:val="0"/>
                <w:sz w:val="22"/>
                <w:szCs w:val="22"/>
                <w:lang w:val="pl-PL" w:eastAsia="en-US" w:bidi="ar-SA"/>
              </w:rPr>
              <w:t>elementami realistycznymi</w:t>
            </w:r>
          </w:p>
          <w:p>
            <w:pPr>
              <w:pStyle w:val="ListParagraph"/>
              <w:widowControl/>
              <w:spacing w:lineRule="auto" w:line="240" w:before="0" w:after="0"/>
              <w:ind w:left="227"/>
              <w:contextualSpacing/>
              <w:jc w:val="left"/>
              <w:rPr>
                <w:spacing w:val="-4"/>
              </w:rPr>
            </w:pPr>
            <w:r>
              <w:rPr>
                <w:rFonts w:eastAsia="Calibri" w:cs=""/>
                <w:spacing w:val="-4"/>
                <w:kern w:val="0"/>
                <w:sz w:val="22"/>
                <w:szCs w:val="22"/>
                <w:lang w:val="pl-PL" w:eastAsia="en-US" w:bidi="ar-SA"/>
              </w:rPr>
              <w:t>i fantastycznymi w utworach epickich,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uzasadnia przynależność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rodzajową utworu do epiki oraz gatunkową do mitu, bajki, baśni, legendy, przypowieści, opowiadania, noweli, powieści, epopei,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rozpoznaje elementy konstrukcyjne utworu epickiego,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rozpoznaje związki</w:t>
            </w:r>
          </w:p>
          <w:p>
            <w:pPr>
              <w:pStyle w:val="ListParagraph"/>
              <w:widowControl/>
              <w:spacing w:lineRule="auto" w:line="240" w:before="0" w:after="0"/>
              <w:ind w:left="227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przyczynowo-skutkowe,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spacing w:val="-4"/>
              </w:rPr>
            </w:pPr>
            <w:r>
              <w:rPr>
                <w:rFonts w:eastAsia="Calibri" w:cs=""/>
                <w:spacing w:val="-4"/>
                <w:kern w:val="0"/>
                <w:sz w:val="22"/>
                <w:szCs w:val="22"/>
                <w:lang w:val="pl-PL" w:eastAsia="en-US" w:bidi="ar-SA"/>
              </w:rPr>
              <w:t>wskazuje cechy narratora w zależności od jego rodzaju,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rozpoznaje rodzaj bohatera w omawianym utworze,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określa relacje łączące</w:t>
            </w:r>
          </w:p>
          <w:p>
            <w:pPr>
              <w:pStyle w:val="ListParagraph"/>
              <w:widowControl/>
              <w:spacing w:lineRule="auto" w:line="240" w:before="0" w:after="0"/>
              <w:ind w:left="227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bohaterów utworu,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uzasadnia wskazane cechy</w:t>
            </w:r>
          </w:p>
          <w:p>
            <w:pPr>
              <w:pStyle w:val="ListParagraph"/>
              <w:widowControl/>
              <w:spacing w:lineRule="auto" w:line="240" w:before="0" w:after="0"/>
              <w:ind w:left="227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bohaterów, odwołując się do treści utworu,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selekcjonuje zebrane informacje o bohaterze,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spacing w:val="-4"/>
              </w:rPr>
            </w:pPr>
            <w:r>
              <w:rPr>
                <w:rFonts w:eastAsia="Calibri" w:cs=""/>
                <w:spacing w:val="-4"/>
                <w:kern w:val="0"/>
                <w:sz w:val="22"/>
                <w:szCs w:val="22"/>
                <w:lang w:val="pl-PL" w:eastAsia="en-US" w:bidi="ar-SA"/>
              </w:rPr>
              <w:t>odróżnia bohatera głównego od drugoplanowego,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dokonuje analizy fragmentu utworu, aby określić rodzaj narracji,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określa tematykę utworu,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omawia wątek poboczny,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porównuje doświadczenia</w:t>
            </w:r>
          </w:p>
          <w:p>
            <w:pPr>
              <w:pStyle w:val="ListParagraph"/>
              <w:widowControl/>
              <w:spacing w:lineRule="auto" w:line="240" w:before="0" w:after="0"/>
              <w:ind w:left="227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bohaterów literackich</w:t>
            </w:r>
          </w:p>
          <w:p>
            <w:pPr>
              <w:pStyle w:val="ListParagraph"/>
              <w:widowControl/>
              <w:spacing w:lineRule="auto" w:line="240" w:before="0" w:after="0"/>
              <w:ind w:left="227"/>
              <w:contextualSpacing/>
              <w:jc w:val="left"/>
              <w:rPr>
                <w:spacing w:val="-8"/>
              </w:rPr>
            </w:pPr>
            <w:r>
              <w:rPr>
                <w:rFonts w:eastAsia="Calibri" w:cs=""/>
                <w:spacing w:val="-8"/>
                <w:kern w:val="0"/>
                <w:sz w:val="22"/>
                <w:szCs w:val="22"/>
                <w:lang w:val="pl-PL" w:eastAsia="en-US" w:bidi="ar-SA"/>
              </w:rPr>
              <w:t>z własnymi doświadczeniami,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odróżnia informacje ważne od mniej istotnych,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porównuje treść czytanych</w:t>
            </w:r>
          </w:p>
          <w:p>
            <w:pPr>
              <w:pStyle w:val="ListParagraph"/>
              <w:widowControl/>
              <w:spacing w:lineRule="auto" w:line="240" w:before="0" w:after="0"/>
              <w:ind w:left="227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utworów z własnymi doświadczeniami,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interpretuje biblijne opowieści,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omawia funkcje alegorii,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ocenia postawę bohatera i przyczyny jego niepowodzenia,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formułuje przesłanie utworu,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omawiając utwory epickie, nawiązuje do kontekstów, np. </w:t>
            </w:r>
            <w:r>
              <w:rPr>
                <w:rFonts w:eastAsia="Calibri" w:cs=""/>
                <w:spacing w:val="-8"/>
                <w:kern w:val="0"/>
                <w:sz w:val="22"/>
                <w:szCs w:val="22"/>
                <w:lang w:val="pl-PL" w:eastAsia="en-US" w:bidi="ar-SA"/>
              </w:rPr>
              <w:t>historycznego, biograficznego,</w:t>
            </w:r>
            <w:r>
              <w:rPr>
                <w:rFonts w:eastAsia="Calibri" w:cs=""/>
                <w:spacing w:val="-6"/>
                <w:kern w:val="0"/>
                <w:sz w:val="22"/>
                <w:szCs w:val="22"/>
                <w:lang w:val="pl-PL" w:eastAsia="en-US" w:bidi="ar-SA"/>
              </w:rPr>
              <w:t xml:space="preserve"> filozoficznego, kulturowego,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6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dostrzega i wskazuje nawiązania biograficzne w omawianych utworach epickich.</w:t>
            </w:r>
          </w:p>
        </w:tc>
        <w:tc>
          <w:tcPr>
            <w:tcW w:w="2871" w:type="dxa"/>
            <w:tcBorders>
              <w:top w:val="single" w:sz="2" w:space="0" w:color="0070C0"/>
              <w:left w:val="single" w:sz="6" w:space="0" w:color="4BACC6"/>
              <w:bottom w:val="single" w:sz="4" w:space="0" w:color="4BACC6"/>
              <w:right w:val="single" w:sz="4" w:space="0" w:color="4BACC6"/>
            </w:tcBorders>
          </w:tcPr>
          <w:p>
            <w:pPr>
              <w:pStyle w:val="Normal"/>
              <w:widowControl/>
              <w:spacing w:lineRule="auto" w:line="240" w:before="60" w:after="40"/>
              <w:jc w:val="left"/>
              <w:rPr>
                <w:u w:val="single"/>
              </w:rPr>
            </w:pPr>
            <w:r>
              <w:rPr>
                <w:rFonts w:eastAsia="Calibri" w:cs=""/>
                <w:kern w:val="0"/>
                <w:sz w:val="22"/>
                <w:szCs w:val="22"/>
                <w:u w:val="single"/>
                <w:lang w:val="pl-PL" w:eastAsia="en-US" w:bidi="ar-SA"/>
              </w:rPr>
              <w:t>spełnia wymagania na ocenę bardzo dobrą, a ponadto: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porównuje elementy świata przedstawionego różnych utworów,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uzasadnia przynależność rodzajową i gatunkową utworu epickiego, podając odpowiednie przykłady,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rozpoznaje funkcje elementów budowy utworu: tytułu, podtytułu, puenty, motta, dedykacji, punktu kulminacyjnego,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spacing w:val="-4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prezentuje za pomocą</w:t>
            </w:r>
            <w:r>
              <w:rPr>
                <w:rFonts w:eastAsia="Calibri" w:cs=""/>
                <w:spacing w:val="-4"/>
                <w:kern w:val="0"/>
                <w:sz w:val="22"/>
                <w:szCs w:val="22"/>
                <w:lang w:val="pl-PL" w:eastAsia="en-US" w:bidi="ar-SA"/>
              </w:rPr>
              <w:t xml:space="preserve"> narzędzi interaktywnych, jak rozumie wzajemne zależności miedzy wydarzeniami w utworze,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porównuje narratorów w różnych utworach,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charakteryzuje bohatera, również za pomocą narzędzi interaktywnych,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porównuje narrację pierwszoosobową z trzecioosobową i przedstawia wnioski,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określa problematykę utworu i prezentuje ją w twórczy sposób,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ciekawie prezentuje własną interpretację biblijnych opowieści,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 interpretacji utworów epickich wykorzystuje odwołania do wartości uniwersalnych związanych z postawami społecznymi, narodowymi, religijnymi, etycznymi,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 interpretacji utworów epickich odwołuje się do kontekstu biograficznego,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wyjaśnia wpływ kontekstu historycznego i historycznoliterackiego na treść i formę utworów epickich,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porównuje  utwory epickie  z różnych kultur i epok, uwzględniając kontekst kulturowy, filozoficzny i społeczny.</w:t>
            </w:r>
          </w:p>
        </w:tc>
      </w:tr>
    </w:tbl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120" w:after="240"/>
        <w:rPr>
          <w:b/>
          <w:bCs/>
          <w:color w:val="FFC000"/>
          <w:sz w:val="32"/>
          <w:szCs w:val="32"/>
        </w:rPr>
      </w:pPr>
      <w:r>
        <w:rPr>
          <w:b/>
          <w:bCs/>
          <w:color w:val="FFC000"/>
          <w:sz w:val="32"/>
          <w:szCs w:val="32"/>
        </w:rPr>
      </w:r>
    </w:p>
    <w:p>
      <w:pPr>
        <w:pStyle w:val="Normal"/>
        <w:spacing w:before="120" w:after="240"/>
        <w:rPr>
          <w:b/>
          <w:bCs/>
          <w:color w:val="FFC000"/>
          <w:sz w:val="32"/>
          <w:szCs w:val="32"/>
        </w:rPr>
      </w:pPr>
      <w:r>
        <w:rPr>
          <w:b/>
          <w:bCs/>
          <w:color w:val="FFC000"/>
          <w:sz w:val="32"/>
          <w:szCs w:val="32"/>
        </w:rPr>
        <w:t>I.1. Czytanie utworów literackich – dramat</w:t>
      </w:r>
    </w:p>
    <w:tbl>
      <w:tblPr>
        <w:tblStyle w:val="Tabela-Siatka"/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62"/>
        <w:gridCol w:w="3083"/>
        <w:gridCol w:w="2975"/>
        <w:gridCol w:w="2879"/>
        <w:gridCol w:w="2871"/>
      </w:tblGrid>
      <w:tr>
        <w:trPr>
          <w:tblHeader w:val="true"/>
          <w:trHeight w:val="205" w:hRule="atLeast"/>
          <w:cantSplit w:val="true"/>
        </w:trPr>
        <w:tc>
          <w:tcPr>
            <w:tcW w:w="14570" w:type="dxa"/>
            <w:gridSpan w:val="5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60" w:after="0"/>
              <w:jc w:val="center"/>
              <w:rPr>
                <w:rFonts w:cs="Calibri" w:cstheme="minorHAnsi"/>
                <w:b/>
                <w:bCs/>
                <w:color w:themeColor="background1" w:val="FFFFFF"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4"/>
                <w:szCs w:val="24"/>
                <w:lang w:val="pl-PL" w:eastAsia="en-US" w:bidi="ar-SA"/>
              </w:rPr>
              <w:t xml:space="preserve">Treści nauczania wskazane w </w:t>
            </w:r>
            <w:r>
              <w:rPr>
                <w:rFonts w:eastAsia="Calibri" w:cs="Calibri" w:cstheme="minorHAnsi"/>
                <w:b/>
                <w:bCs/>
                <w:i/>
                <w:iCs/>
                <w:color w:themeColor="background1" w:val="FFFFFF"/>
                <w:kern w:val="0"/>
                <w:sz w:val="24"/>
                <w:szCs w:val="24"/>
                <w:lang w:val="pl-PL" w:eastAsia="en-US" w:bidi="ar-SA"/>
              </w:rPr>
              <w:t xml:space="preserve">Podstawie programowej dla II etapu edukacyjnego </w:t>
            </w: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4"/>
                <w:szCs w:val="24"/>
                <w:lang w:val="pl-PL" w:eastAsia="en-US" w:bidi="ar-SA"/>
              </w:rPr>
              <w:t>(klasy 4–8)</w:t>
            </w:r>
          </w:p>
          <w:p>
            <w:pPr>
              <w:pStyle w:val="Normal"/>
              <w:widowControl/>
              <w:spacing w:lineRule="auto" w:line="240" w:before="0" w:after="60"/>
              <w:jc w:val="center"/>
              <w:rPr>
                <w:rFonts w:cs="Calibri" w:cstheme="minorHAnsi"/>
                <w:b/>
                <w:bC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4"/>
                <w:szCs w:val="24"/>
                <w:lang w:val="pl-PL" w:eastAsia="en-US" w:bidi="ar-SA"/>
              </w:rPr>
              <w:t xml:space="preserve">i zawarte w podręczniku </w:t>
            </w:r>
            <w:r>
              <w:rPr>
                <w:rFonts w:eastAsia="Calibri" w:cs="Calibri" w:cstheme="minorHAnsi"/>
                <w:b/>
                <w:bCs/>
                <w:i/>
                <w:iCs/>
                <w:color w:themeColor="background1" w:val="FFFFFF"/>
                <w:kern w:val="0"/>
                <w:sz w:val="24"/>
                <w:szCs w:val="24"/>
                <w:lang w:val="pl-PL" w:eastAsia="en-US" w:bidi="ar-SA"/>
              </w:rPr>
              <w:t>Zamieńmy słowo</w:t>
            </w: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4"/>
                <w:szCs w:val="24"/>
                <w:lang w:val="pl-PL" w:eastAsia="en-US" w:bidi="ar-SA"/>
              </w:rPr>
              <w:t xml:space="preserve"> dla klasy 8</w:t>
            </w:r>
          </w:p>
        </w:tc>
      </w:tr>
      <w:tr>
        <w:trPr>
          <w:tblHeader w:val="true"/>
          <w:trHeight w:val="340" w:hRule="atLeast"/>
          <w:cantSplit w:val="true"/>
        </w:trPr>
        <w:tc>
          <w:tcPr>
            <w:tcW w:w="2762" w:type="dxa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2"/>
                <w:szCs w:val="22"/>
                <w:lang w:val="pl-PL" w:eastAsia="en-US" w:bidi="ar-SA"/>
              </w:rPr>
              <w:t>ocena dopuszczająca</w:t>
            </w:r>
          </w:p>
        </w:tc>
        <w:tc>
          <w:tcPr>
            <w:tcW w:w="3083" w:type="dxa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2"/>
                <w:szCs w:val="22"/>
                <w:lang w:val="pl-PL" w:eastAsia="en-US" w:bidi="ar-SA"/>
              </w:rPr>
              <w:t>ocena dostateczna</w:t>
            </w:r>
          </w:p>
        </w:tc>
        <w:tc>
          <w:tcPr>
            <w:tcW w:w="2975" w:type="dxa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2"/>
                <w:szCs w:val="22"/>
                <w:lang w:val="pl-PL" w:eastAsia="en-US" w:bidi="ar-SA"/>
              </w:rPr>
              <w:t>ocena dobra</w:t>
            </w:r>
          </w:p>
        </w:tc>
        <w:tc>
          <w:tcPr>
            <w:tcW w:w="2879" w:type="dxa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2"/>
                <w:szCs w:val="22"/>
                <w:lang w:val="pl-PL" w:eastAsia="en-US" w:bidi="ar-SA"/>
              </w:rPr>
              <w:t>ocena bardzo dobra</w:t>
            </w:r>
          </w:p>
        </w:tc>
        <w:tc>
          <w:tcPr>
            <w:tcW w:w="2871" w:type="dxa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2"/>
                <w:szCs w:val="22"/>
                <w:lang w:val="pl-PL" w:eastAsia="en-US" w:bidi="ar-SA"/>
              </w:rPr>
              <w:t>ocena celująca</w:t>
            </w:r>
          </w:p>
        </w:tc>
      </w:tr>
      <w:tr>
        <w:trPr>
          <w:tblHeader w:val="true"/>
          <w:trHeight w:val="340" w:hRule="atLeast"/>
          <w:cantSplit w:val="true"/>
        </w:trPr>
        <w:tc>
          <w:tcPr>
            <w:tcW w:w="14570" w:type="dxa"/>
            <w:gridSpan w:val="5"/>
            <w:tcBorders>
              <w:top w:val="single" w:sz="4" w:space="0" w:color="FFFFFF"/>
              <w:left w:val="single" w:sz="6" w:space="0" w:color="FFFFFF"/>
              <w:bottom w:val="single" w:sz="2" w:space="0" w:color="0070C0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2"/>
                <w:szCs w:val="22"/>
                <w:lang w:val="pl-PL" w:eastAsia="en-US" w:bidi="ar-SA"/>
              </w:rPr>
              <w:t>Uczeń</w:t>
            </w:r>
          </w:p>
        </w:tc>
      </w:tr>
      <w:tr>
        <w:trPr>
          <w:tblHeader w:val="true"/>
          <w:trHeight w:val="397" w:hRule="atLeast"/>
          <w:cantSplit w:val="true"/>
        </w:trPr>
        <w:tc>
          <w:tcPr>
            <w:tcW w:w="14570" w:type="dxa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color="auto" w:fill="B6DDE8" w:themeFill="accent5" w:themeFillTint="66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cap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aps/>
                <w:kern w:val="0"/>
                <w:sz w:val="22"/>
                <w:szCs w:val="22"/>
                <w:lang w:val="pl-PL" w:eastAsia="en-US" w:bidi="ar-SA"/>
              </w:rPr>
              <w:t>Utwory dramatyczne</w:t>
            </w:r>
          </w:p>
        </w:tc>
      </w:tr>
      <w:tr>
        <w:trPr>
          <w:trHeight w:val="578" w:hRule="atLeast"/>
        </w:trPr>
        <w:tc>
          <w:tcPr>
            <w:tcW w:w="2762" w:type="dxa"/>
            <w:tcBorders>
              <w:top w:val="single" w:sz="2" w:space="0" w:color="0070C0"/>
              <w:left w:val="single" w:sz="4" w:space="0" w:color="4BACC6"/>
              <w:bottom w:val="single" w:sz="4" w:space="0" w:color="4BACC6"/>
              <w:right w:val="single" w:sz="6" w:space="0" w:color="4BACC6"/>
            </w:tcBorders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6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zna pojęcie dramatu,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6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wie, że dramat to jeden z rodzajów literackich,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6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wie, że gatunki dramatu to tragedia i komedia,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6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zna podstawowe cechy utworów dramatycznych,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6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odróżnia utwór pisany prozą i wierszem od dramatu,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6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wymienia elementy świata przedstawionego w dramacie: czas, miejsce akcji, bohaterowie, wydarzenia,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6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wie, czym się różni realizm od fantastyki w dramacie,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6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wie, że dzieło dramatyczne ma kontekst</w:t>
            </w:r>
          </w:p>
          <w:p>
            <w:pPr>
              <w:pStyle w:val="ListParagraph"/>
              <w:widowControl/>
              <w:spacing w:lineRule="auto" w:line="240" w:before="0" w:after="0"/>
              <w:ind w:left="227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kulturowy i biograficzny,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wymienia utwory dramatyczne poznane w klasach 7 i 8,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zna utwory dramatyczne z kanonu lektur obowiązkowych.</w:t>
            </w:r>
          </w:p>
          <w:p>
            <w:pPr>
              <w:pStyle w:val="ListParagraph"/>
              <w:widowControl/>
              <w:spacing w:lineRule="auto" w:line="240" w:before="0" w:after="0"/>
              <w:ind w:left="227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3083" w:type="dxa"/>
            <w:tcBorders>
              <w:top w:val="single" w:sz="2" w:space="0" w:color="0070C0"/>
              <w:left w:val="single" w:sz="6" w:space="0" w:color="4BACC6"/>
              <w:bottom w:val="single" w:sz="4" w:space="0" w:color="4BACC6"/>
              <w:right w:val="single" w:sz="6" w:space="0" w:color="4BACC6"/>
            </w:tcBorders>
          </w:tcPr>
          <w:p>
            <w:pPr>
              <w:pStyle w:val="Normal"/>
              <w:widowControl/>
              <w:spacing w:lineRule="auto" w:line="240" w:before="60" w:after="40"/>
              <w:jc w:val="left"/>
              <w:rPr>
                <w:u w:val="single"/>
              </w:rPr>
            </w:pPr>
            <w:r>
              <w:rPr>
                <w:rFonts w:eastAsia="Calibri" w:cs=""/>
                <w:kern w:val="0"/>
                <w:sz w:val="22"/>
                <w:szCs w:val="22"/>
                <w:u w:val="single"/>
                <w:lang w:val="pl-PL" w:eastAsia="en-US" w:bidi="ar-SA"/>
              </w:rPr>
              <w:t>spełnia wymagania na ocenę dopuszczającą, a ponadto: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wie, czym cechuje się dramat jako rodzaj literacki,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zna cechy utworów dramatycznych,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wie, czym cechuje się tragedia i komedia,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opisuje elementy świata</w:t>
            </w:r>
          </w:p>
          <w:p>
            <w:pPr>
              <w:pStyle w:val="ListParagraph"/>
              <w:widowControl/>
              <w:spacing w:lineRule="auto" w:line="240" w:before="0" w:after="0"/>
              <w:ind w:left="227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przedstawionego w dramacie,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wymienia charakterystyczne</w:t>
            </w:r>
          </w:p>
          <w:p>
            <w:pPr>
              <w:pStyle w:val="ListParagraph"/>
              <w:widowControl/>
              <w:spacing w:lineRule="auto" w:line="240" w:before="0" w:after="0"/>
              <w:ind w:left="227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elementy dramatu: akt, scena, tekst główny, didaskalia, monolog, dialog,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omawia elementy realistyczne i fantastyczne w dramacie,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spacing w:val="-4"/>
              </w:rPr>
            </w:pPr>
            <w:r>
              <w:rPr>
                <w:rFonts w:eastAsia="Calibri" w:cs=""/>
                <w:spacing w:val="-4"/>
                <w:kern w:val="0"/>
                <w:sz w:val="22"/>
                <w:szCs w:val="22"/>
                <w:lang w:val="pl-PL" w:eastAsia="en-US" w:bidi="ar-SA"/>
              </w:rPr>
              <w:t>rozpoznaje rodzaje bohaterów w dramacie,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zna pojęcie bohatera tragicznego i komizmu,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zna etapy rozwoju akcji dramatycznej,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rozumie pojęcie dramatu romantycznego,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wypowiada się na temat dramatów poznanych w klasach 7 i 8,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krótko opowiada, o czym jest utwór dramatyczny z kanonu lektur obowiązkowych.</w:t>
            </w:r>
          </w:p>
        </w:tc>
        <w:tc>
          <w:tcPr>
            <w:tcW w:w="2975" w:type="dxa"/>
            <w:tcBorders>
              <w:top w:val="single" w:sz="2" w:space="0" w:color="0070C0"/>
              <w:left w:val="single" w:sz="6" w:space="0" w:color="4BACC6"/>
              <w:bottom w:val="single" w:sz="4" w:space="0" w:color="4BACC6"/>
              <w:right w:val="single" w:sz="6" w:space="0" w:color="4BACC6"/>
            </w:tcBorders>
          </w:tcPr>
          <w:p>
            <w:pPr>
              <w:pStyle w:val="Normal"/>
              <w:widowControl/>
              <w:spacing w:lineRule="auto" w:line="240" w:before="60" w:after="40"/>
              <w:jc w:val="left"/>
              <w:rPr>
                <w:u w:val="single"/>
              </w:rPr>
            </w:pPr>
            <w:r>
              <w:rPr>
                <w:rFonts w:eastAsia="Calibri" w:cs=""/>
                <w:kern w:val="0"/>
                <w:sz w:val="22"/>
                <w:szCs w:val="22"/>
                <w:u w:val="single"/>
                <w:lang w:val="pl-PL" w:eastAsia="en-US" w:bidi="ar-SA"/>
              </w:rPr>
              <w:t>spełnia wymagania na ocenę dostateczną, a ponadto: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rozpoznaje dramat jako rodzaj literacki,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wskazuje cechy utworów dramatycznych,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wymienia cechy tragedii i komedii,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opowiada o elementach świata przedstawionego w dramacie,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spacing w:val="-4"/>
              </w:rPr>
            </w:pPr>
            <w:r>
              <w:rPr>
                <w:rFonts w:eastAsia="Calibri" w:cs=""/>
                <w:spacing w:val="-4"/>
                <w:kern w:val="0"/>
                <w:sz w:val="22"/>
                <w:szCs w:val="22"/>
                <w:lang w:val="pl-PL" w:eastAsia="en-US" w:bidi="ar-SA"/>
              </w:rPr>
              <w:t>wskazuje akt, scenę, tekst główny, didaskalia, monolog, dialog,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odróżnia elementy </w:t>
            </w:r>
            <w:r>
              <w:rPr>
                <w:rFonts w:eastAsia="Calibri" w:cs=""/>
                <w:spacing w:val="-8"/>
                <w:kern w:val="0"/>
                <w:sz w:val="22"/>
                <w:szCs w:val="22"/>
                <w:lang w:val="pl-PL" w:eastAsia="en-US" w:bidi="ar-SA"/>
              </w:rPr>
              <w:t>realistyczne od fantastycznych,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określa rodzaj bohatera: główny i drugoplanowy,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wskazuje bohatera tragicznego,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ocenia bohaterów dramatu,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określa, na czym polega komizm,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nazywa etapy rozwoju akcji dramatycznej,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rozumie kontekst kulturowy i biograficzny dramatu,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rozpoznaje cechy dramatu romantycznego,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prezentuje w dowolnej formie (w tym w formie interaktywnej) treść dramatów z kanonu lektur obowiązkowych.</w:t>
            </w:r>
          </w:p>
        </w:tc>
        <w:tc>
          <w:tcPr>
            <w:tcW w:w="2879" w:type="dxa"/>
            <w:tcBorders>
              <w:top w:val="single" w:sz="2" w:space="0" w:color="0070C0"/>
              <w:left w:val="single" w:sz="6" w:space="0" w:color="4BACC6"/>
              <w:bottom w:val="single" w:sz="4" w:space="0" w:color="4BACC6"/>
              <w:right w:val="single" w:sz="6" w:space="0" w:color="4BACC6"/>
            </w:tcBorders>
          </w:tcPr>
          <w:p>
            <w:pPr>
              <w:pStyle w:val="Normal"/>
              <w:widowControl/>
              <w:spacing w:lineRule="auto" w:line="240" w:before="60" w:after="40"/>
              <w:jc w:val="left"/>
              <w:rPr>
                <w:u w:val="single"/>
              </w:rPr>
            </w:pPr>
            <w:r>
              <w:rPr>
                <w:rFonts w:eastAsia="Calibri" w:cs=""/>
                <w:kern w:val="0"/>
                <w:sz w:val="22"/>
                <w:szCs w:val="22"/>
                <w:u w:val="single"/>
                <w:lang w:val="pl-PL" w:eastAsia="en-US" w:bidi="ar-SA"/>
              </w:rPr>
              <w:t>spełnia wymagania na ocenę dobrą, a ponadto: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uzasadnia, dlaczego utwór jest dramatem,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omawia cechy rodzajowe dramatu i cechy gatunkowe tragedii i komedii,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wyjaśnia różnice miedzy elementami realistycznymi a fantastycznymi dramatu,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rozpoznaje związki przyczynowo-skutkowe, </w:t>
            </w:r>
            <w:r>
              <w:rPr>
                <w:rFonts w:eastAsia="Calibri" w:cs=""/>
                <w:spacing w:val="-4"/>
                <w:kern w:val="0"/>
                <w:sz w:val="22"/>
                <w:szCs w:val="22"/>
                <w:lang w:val="pl-PL" w:eastAsia="en-US" w:bidi="ar-SA"/>
              </w:rPr>
              <w:t>rodzaj bohatera,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określa relacje łączące bohaterów,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spacing w:val="-4"/>
              </w:rPr>
            </w:pPr>
            <w:r>
              <w:rPr>
                <w:rFonts w:eastAsia="Calibri" w:cs=""/>
                <w:spacing w:val="-4"/>
                <w:kern w:val="0"/>
                <w:sz w:val="22"/>
                <w:szCs w:val="22"/>
                <w:lang w:val="pl-PL" w:eastAsia="en-US" w:bidi="ar-SA"/>
              </w:rPr>
              <w:t>odróżnia bohatera głównego od drugoplanowego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20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określa funkcje komizmu,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wyjaśnia, dlaczego dana  postać jest bohaterem tragicznym,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omawia etapy rozwoju akcji dramatycznej,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wskazuje w utworze cechy dramatu romantycznego,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wyjaśnia kontekst kulturowy i biograficzny dramatów poznanych w klasach 7 i 8.</w:t>
            </w:r>
          </w:p>
        </w:tc>
        <w:tc>
          <w:tcPr>
            <w:tcW w:w="2871" w:type="dxa"/>
            <w:tcBorders>
              <w:top w:val="single" w:sz="2" w:space="0" w:color="0070C0"/>
              <w:left w:val="single" w:sz="6" w:space="0" w:color="4BACC6"/>
              <w:bottom w:val="single" w:sz="4" w:space="0" w:color="4BACC6"/>
              <w:right w:val="single" w:sz="4" w:space="0" w:color="4BACC6"/>
            </w:tcBorders>
          </w:tcPr>
          <w:p>
            <w:pPr>
              <w:pStyle w:val="Normal"/>
              <w:widowControl/>
              <w:spacing w:lineRule="auto" w:line="240" w:before="60" w:after="40"/>
              <w:jc w:val="left"/>
              <w:rPr>
                <w:u w:val="single"/>
              </w:rPr>
            </w:pPr>
            <w:r>
              <w:rPr>
                <w:rFonts w:eastAsia="Calibri" w:cs=""/>
                <w:kern w:val="0"/>
                <w:sz w:val="22"/>
                <w:szCs w:val="22"/>
                <w:u w:val="single"/>
                <w:lang w:val="pl-PL" w:eastAsia="en-US" w:bidi="ar-SA"/>
              </w:rPr>
              <w:t>spełnia wymagania na ocenę bardzo dobrą, a ponadto: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udowadnia, że utwór jest dramatem, podając odpowiednie przykłady z tekstu,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określa  funkcje komizmu,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spacing w:val="-4"/>
                <w:kern w:val="0"/>
                <w:sz w:val="22"/>
                <w:szCs w:val="22"/>
                <w:lang w:val="pl-PL" w:eastAsia="en-US" w:bidi="ar-SA"/>
              </w:rPr>
              <w:t xml:space="preserve">prezentuje według własnego pomysłu, z wykorzystaniem narzędzi interaktywnych, jak rozumie 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wzajemne zależności miedzy wydarzeniami w dramatach z kanonu lektur obowiązkowych,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określa problematykę dramatów poznanych w klasach 7 i 8 i prezentuje ją w twórczy sposób,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spacing w:val="-4"/>
              </w:rPr>
            </w:pPr>
            <w:r>
              <w:rPr>
                <w:rFonts w:eastAsia="Calibri" w:cs=""/>
                <w:spacing w:val="-4"/>
                <w:kern w:val="0"/>
                <w:sz w:val="22"/>
                <w:szCs w:val="22"/>
                <w:lang w:val="pl-PL" w:eastAsia="en-US" w:bidi="ar-SA"/>
              </w:rPr>
              <w:t>wyczerpująco wypowiada się na temat wydarzeń</w:t>
            </w:r>
          </w:p>
          <w:p>
            <w:pPr>
              <w:pStyle w:val="ListParagraph"/>
              <w:widowControl/>
              <w:spacing w:lineRule="auto" w:line="240" w:before="0" w:after="0"/>
              <w:ind w:left="227"/>
              <w:contextualSpacing/>
              <w:jc w:val="left"/>
              <w:rPr>
                <w:spacing w:val="-4"/>
              </w:rPr>
            </w:pPr>
            <w:r>
              <w:rPr>
                <w:rFonts w:eastAsia="Calibri" w:cs=""/>
                <w:spacing w:val="-4"/>
                <w:kern w:val="0"/>
                <w:sz w:val="22"/>
                <w:szCs w:val="22"/>
                <w:lang w:val="pl-PL" w:eastAsia="en-US" w:bidi="ar-SA"/>
              </w:rPr>
              <w:t xml:space="preserve">przedstawionych w dramatach  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z kanonu lektur obowiązkowych</w:t>
            </w:r>
            <w:r>
              <w:rPr>
                <w:rFonts w:eastAsia="Calibri" w:cs=""/>
                <w:spacing w:val="-4"/>
                <w:kern w:val="0"/>
                <w:sz w:val="22"/>
                <w:szCs w:val="22"/>
                <w:lang w:val="pl-PL" w:eastAsia="en-US" w:bidi="ar-SA"/>
              </w:rPr>
              <w:t>, odwołując się do znajomości całej lektury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.</w:t>
            </w:r>
          </w:p>
        </w:tc>
      </w:tr>
    </w:tbl>
    <w:p>
      <w:pPr>
        <w:pStyle w:val="Normal"/>
        <w:spacing w:before="120" w:after="240"/>
        <w:rPr>
          <w:b/>
          <w:bCs/>
          <w:color w:val="FFC000"/>
          <w:sz w:val="32"/>
          <w:szCs w:val="32"/>
        </w:rPr>
      </w:pPr>
      <w:r>
        <w:rPr>
          <w:b/>
          <w:bCs/>
          <w:color w:val="FFC000"/>
          <w:sz w:val="32"/>
          <w:szCs w:val="32"/>
        </w:rPr>
      </w:r>
    </w:p>
    <w:p>
      <w:pPr>
        <w:pStyle w:val="Normal"/>
        <w:spacing w:before="120" w:after="240"/>
        <w:rPr>
          <w:b/>
          <w:bCs/>
          <w:color w:val="FFC000"/>
          <w:sz w:val="32"/>
          <w:szCs w:val="32"/>
        </w:rPr>
      </w:pPr>
      <w:r>
        <w:rPr>
          <w:b/>
          <w:bCs/>
          <w:color w:val="FFC000"/>
          <w:sz w:val="32"/>
          <w:szCs w:val="32"/>
        </w:rPr>
      </w:r>
      <w:r>
        <w:br w:type="page"/>
      </w:r>
    </w:p>
    <w:p>
      <w:pPr>
        <w:pStyle w:val="Normal"/>
        <w:spacing w:before="0" w:after="240"/>
        <w:rPr>
          <w:b/>
          <w:bCs/>
          <w:color w:val="FFC000"/>
          <w:sz w:val="32"/>
          <w:szCs w:val="32"/>
        </w:rPr>
      </w:pPr>
      <w:r>
        <w:rPr>
          <w:b/>
          <w:bCs/>
          <w:color w:val="FFC000"/>
          <w:sz w:val="32"/>
          <w:szCs w:val="32"/>
        </w:rPr>
        <w:t>I.1. Czytanie utworów literackich – utwory synkretyczne</w:t>
      </w:r>
    </w:p>
    <w:tbl>
      <w:tblPr>
        <w:tblStyle w:val="Tabela-Siatka"/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62"/>
        <w:gridCol w:w="3083"/>
        <w:gridCol w:w="2975"/>
        <w:gridCol w:w="2879"/>
        <w:gridCol w:w="2871"/>
      </w:tblGrid>
      <w:tr>
        <w:trPr>
          <w:tblHeader w:val="true"/>
          <w:trHeight w:val="205" w:hRule="atLeast"/>
          <w:cantSplit w:val="true"/>
        </w:trPr>
        <w:tc>
          <w:tcPr>
            <w:tcW w:w="14570" w:type="dxa"/>
            <w:gridSpan w:val="5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60" w:after="0"/>
              <w:jc w:val="center"/>
              <w:rPr>
                <w:rFonts w:cs="Calibri" w:cstheme="minorHAnsi"/>
                <w:b/>
                <w:bCs/>
                <w:color w:themeColor="background1" w:val="FFFFFF"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4"/>
                <w:szCs w:val="24"/>
                <w:lang w:val="pl-PL" w:eastAsia="en-US" w:bidi="ar-SA"/>
              </w:rPr>
              <w:t xml:space="preserve">Treści nauczania wskazane w </w:t>
            </w:r>
            <w:r>
              <w:rPr>
                <w:rFonts w:eastAsia="Calibri" w:cs="Calibri" w:cstheme="minorHAnsi"/>
                <w:b/>
                <w:bCs/>
                <w:i/>
                <w:iCs/>
                <w:color w:themeColor="background1" w:val="FFFFFF"/>
                <w:kern w:val="0"/>
                <w:sz w:val="24"/>
                <w:szCs w:val="24"/>
                <w:lang w:val="pl-PL" w:eastAsia="en-US" w:bidi="ar-SA"/>
              </w:rPr>
              <w:t xml:space="preserve">Podstawie programowej dla II etapu edukacyjnego </w:t>
            </w: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4"/>
                <w:szCs w:val="24"/>
                <w:lang w:val="pl-PL" w:eastAsia="en-US" w:bidi="ar-SA"/>
              </w:rPr>
              <w:t>(klasy 4–8)</w:t>
            </w:r>
          </w:p>
          <w:p>
            <w:pPr>
              <w:pStyle w:val="Normal"/>
              <w:widowControl/>
              <w:spacing w:lineRule="auto" w:line="240" w:before="0" w:after="60"/>
              <w:jc w:val="center"/>
              <w:rPr>
                <w:rFonts w:cs="Calibri" w:cstheme="minorHAnsi"/>
                <w:b/>
                <w:bC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4"/>
                <w:szCs w:val="24"/>
                <w:lang w:val="pl-PL" w:eastAsia="en-US" w:bidi="ar-SA"/>
              </w:rPr>
              <w:t xml:space="preserve">i zawarte w podręczniku </w:t>
            </w:r>
            <w:r>
              <w:rPr>
                <w:rFonts w:eastAsia="Calibri" w:cs="Calibri" w:cstheme="minorHAnsi"/>
                <w:b/>
                <w:bCs/>
                <w:i/>
                <w:iCs/>
                <w:color w:themeColor="background1" w:val="FFFFFF"/>
                <w:kern w:val="0"/>
                <w:sz w:val="24"/>
                <w:szCs w:val="24"/>
                <w:lang w:val="pl-PL" w:eastAsia="en-US" w:bidi="ar-SA"/>
              </w:rPr>
              <w:t>Zamieńmy słowo</w:t>
            </w: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4"/>
                <w:szCs w:val="24"/>
                <w:lang w:val="pl-PL" w:eastAsia="en-US" w:bidi="ar-SA"/>
              </w:rPr>
              <w:t xml:space="preserve"> dla klasy 8</w:t>
            </w:r>
          </w:p>
        </w:tc>
      </w:tr>
      <w:tr>
        <w:trPr>
          <w:tblHeader w:val="true"/>
          <w:trHeight w:val="340" w:hRule="atLeast"/>
          <w:cantSplit w:val="true"/>
        </w:trPr>
        <w:tc>
          <w:tcPr>
            <w:tcW w:w="2762" w:type="dxa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2"/>
                <w:szCs w:val="22"/>
                <w:lang w:val="pl-PL" w:eastAsia="en-US" w:bidi="ar-SA"/>
              </w:rPr>
              <w:t>ocena dopuszczająca</w:t>
            </w:r>
          </w:p>
        </w:tc>
        <w:tc>
          <w:tcPr>
            <w:tcW w:w="3083" w:type="dxa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2"/>
                <w:szCs w:val="22"/>
                <w:lang w:val="pl-PL" w:eastAsia="en-US" w:bidi="ar-SA"/>
              </w:rPr>
              <w:t>ocena dostateczna</w:t>
            </w:r>
          </w:p>
        </w:tc>
        <w:tc>
          <w:tcPr>
            <w:tcW w:w="2975" w:type="dxa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2"/>
                <w:szCs w:val="22"/>
                <w:lang w:val="pl-PL" w:eastAsia="en-US" w:bidi="ar-SA"/>
              </w:rPr>
              <w:t>ocena dobra</w:t>
            </w:r>
          </w:p>
        </w:tc>
        <w:tc>
          <w:tcPr>
            <w:tcW w:w="2879" w:type="dxa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2"/>
                <w:szCs w:val="22"/>
                <w:lang w:val="pl-PL" w:eastAsia="en-US" w:bidi="ar-SA"/>
              </w:rPr>
              <w:t>ocena bardzo dobra</w:t>
            </w:r>
          </w:p>
        </w:tc>
        <w:tc>
          <w:tcPr>
            <w:tcW w:w="2871" w:type="dxa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2"/>
                <w:szCs w:val="22"/>
                <w:lang w:val="pl-PL" w:eastAsia="en-US" w:bidi="ar-SA"/>
              </w:rPr>
              <w:t>ocena celująca</w:t>
            </w:r>
          </w:p>
        </w:tc>
      </w:tr>
      <w:tr>
        <w:trPr>
          <w:tblHeader w:val="true"/>
          <w:trHeight w:val="340" w:hRule="atLeast"/>
          <w:cantSplit w:val="true"/>
        </w:trPr>
        <w:tc>
          <w:tcPr>
            <w:tcW w:w="14570" w:type="dxa"/>
            <w:gridSpan w:val="5"/>
            <w:tcBorders>
              <w:top w:val="single" w:sz="4" w:space="0" w:color="FFFFFF"/>
              <w:left w:val="single" w:sz="6" w:space="0" w:color="FFFFFF"/>
              <w:bottom w:val="single" w:sz="2" w:space="0" w:color="0070C0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2"/>
                <w:szCs w:val="22"/>
                <w:lang w:val="pl-PL" w:eastAsia="en-US" w:bidi="ar-SA"/>
              </w:rPr>
              <w:t>Uczeń</w:t>
            </w:r>
          </w:p>
        </w:tc>
      </w:tr>
      <w:tr>
        <w:trPr>
          <w:tblHeader w:val="true"/>
          <w:trHeight w:val="397" w:hRule="atLeast"/>
          <w:cantSplit w:val="true"/>
        </w:trPr>
        <w:tc>
          <w:tcPr>
            <w:tcW w:w="14570" w:type="dxa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color="auto" w:fill="B6DDE8" w:themeFill="accent5" w:themeFillTint="66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cap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aps/>
                <w:kern w:val="0"/>
                <w:sz w:val="22"/>
                <w:szCs w:val="22"/>
                <w:lang w:val="pl-PL" w:eastAsia="en-US" w:bidi="ar-SA"/>
              </w:rPr>
              <w:t>Utwory synkretyczne (m.in. Ballada)</w:t>
            </w:r>
          </w:p>
        </w:tc>
      </w:tr>
      <w:tr>
        <w:trPr>
          <w:trHeight w:val="2356" w:hRule="atLeast"/>
        </w:trPr>
        <w:tc>
          <w:tcPr>
            <w:tcW w:w="2762" w:type="dxa"/>
            <w:tcBorders>
              <w:top w:val="single" w:sz="2" w:space="0" w:color="0070C0"/>
              <w:left w:val="single" w:sz="4" w:space="0" w:color="4BACC6"/>
              <w:bottom w:val="single" w:sz="4" w:space="0" w:color="4BACC6"/>
              <w:right w:val="single" w:sz="6" w:space="0" w:color="4BACC6"/>
            </w:tcBorders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6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wie, że ballada zawiera elementy epiki, liryki i dramatu,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6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wymienia elementy świata przedstawionego w balladzie,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6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wie, czym jest punkt kulminacyjny w balladzie,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wymienia utwory synkretyczne poznane w klasach 7 i 8,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20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zna utwory synkretyczne z kanonu lektur obowiązkowych.</w:t>
            </w:r>
          </w:p>
        </w:tc>
        <w:tc>
          <w:tcPr>
            <w:tcW w:w="3083" w:type="dxa"/>
            <w:tcBorders>
              <w:top w:val="single" w:sz="2" w:space="0" w:color="0070C0"/>
              <w:left w:val="single" w:sz="6" w:space="0" w:color="4BACC6"/>
              <w:bottom w:val="single" w:sz="4" w:space="0" w:color="4BACC6"/>
              <w:right w:val="single" w:sz="6" w:space="0" w:color="4BACC6"/>
            </w:tcBorders>
          </w:tcPr>
          <w:p>
            <w:pPr>
              <w:pStyle w:val="Normal"/>
              <w:widowControl/>
              <w:spacing w:lineRule="auto" w:line="240" w:before="60" w:after="40"/>
              <w:jc w:val="left"/>
              <w:rPr>
                <w:u w:val="single"/>
              </w:rPr>
            </w:pPr>
            <w:r>
              <w:rPr>
                <w:rFonts w:eastAsia="Calibri" w:cs=""/>
                <w:kern w:val="0"/>
                <w:sz w:val="22"/>
                <w:szCs w:val="22"/>
                <w:u w:val="single"/>
                <w:lang w:val="pl-PL" w:eastAsia="en-US" w:bidi="ar-SA"/>
              </w:rPr>
              <w:t>spełnia wymagania na ocenę dopuszczającą, a ponadto: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zna cechy ballady,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dostrzega w balladzie elementy epiki, liryki i dramatu,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omawiam elementy świata przedstawionego w balladzie;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wyjaśnia, czym jest punkt kulminacyjny w balladzie,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20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wypowiada się na temat utworów synkretycznych poznanych w klasach 7 i 8,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spacing w:val="-4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krótko opowiada, o czym jest utwór synkretyczny z kanonu lektur obowiązkowych.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spacing w:val="-4"/>
              </w:rPr>
            </w:pPr>
            <w:r>
              <w:rPr>
                <w:rFonts w:eastAsia="Calibri" w:cs=""/>
                <w:spacing w:val="-4"/>
                <w:kern w:val="0"/>
                <w:sz w:val="22"/>
                <w:szCs w:val="22"/>
                <w:lang w:val="pl-PL" w:eastAsia="en-US" w:bidi="ar-SA"/>
              </w:rPr>
              <w:t xml:space="preserve">dostrzega w sztuce nawiązania do poznanych 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utworów synkretycznych.</w:t>
            </w:r>
          </w:p>
        </w:tc>
        <w:tc>
          <w:tcPr>
            <w:tcW w:w="2975" w:type="dxa"/>
            <w:tcBorders>
              <w:top w:val="single" w:sz="2" w:space="0" w:color="0070C0"/>
              <w:left w:val="single" w:sz="6" w:space="0" w:color="4BACC6"/>
              <w:bottom w:val="single" w:sz="4" w:space="0" w:color="4BACC6"/>
              <w:right w:val="single" w:sz="6" w:space="0" w:color="4BACC6"/>
            </w:tcBorders>
          </w:tcPr>
          <w:p>
            <w:pPr>
              <w:pStyle w:val="Normal"/>
              <w:widowControl/>
              <w:spacing w:lineRule="auto" w:line="240" w:before="60" w:after="40"/>
              <w:jc w:val="left"/>
              <w:rPr>
                <w:u w:val="single"/>
              </w:rPr>
            </w:pPr>
            <w:r>
              <w:rPr>
                <w:rFonts w:eastAsia="Calibri" w:cs=""/>
                <w:kern w:val="0"/>
                <w:sz w:val="22"/>
                <w:szCs w:val="22"/>
                <w:u w:val="single"/>
                <w:lang w:val="pl-PL" w:eastAsia="en-US" w:bidi="ar-SA"/>
              </w:rPr>
              <w:t>spełnia wymagania na ocenę dostateczną, a ponadto: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wymienia cechy ballady,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wie, na czym polega synkretyzm ballady,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porządkuje wydarzenia ballady w sposób przyczynowo-skutkowy,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ocenia dzieła sztuki nawiązujące do </w:t>
            </w:r>
            <w:r>
              <w:rPr>
                <w:rFonts w:eastAsia="Calibri" w:cs=""/>
                <w:spacing w:val="-4"/>
                <w:kern w:val="0"/>
                <w:sz w:val="22"/>
                <w:szCs w:val="22"/>
                <w:lang w:val="pl-PL" w:eastAsia="en-US" w:bidi="ar-SA"/>
              </w:rPr>
              <w:t xml:space="preserve">poznanych 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utworów synkretycznych,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tworzy ciekawe wypowiedzi inspirowane utworami synkretycznymi z kanonu lektur obowiązkowych.</w:t>
            </w:r>
          </w:p>
        </w:tc>
        <w:tc>
          <w:tcPr>
            <w:tcW w:w="2879" w:type="dxa"/>
            <w:tcBorders>
              <w:top w:val="single" w:sz="2" w:space="0" w:color="0070C0"/>
              <w:left w:val="single" w:sz="6" w:space="0" w:color="4BACC6"/>
              <w:bottom w:val="single" w:sz="4" w:space="0" w:color="4BACC6"/>
              <w:right w:val="single" w:sz="6" w:space="0" w:color="4BACC6"/>
            </w:tcBorders>
          </w:tcPr>
          <w:p>
            <w:pPr>
              <w:pStyle w:val="Normal"/>
              <w:widowControl/>
              <w:spacing w:lineRule="auto" w:line="240" w:before="60" w:after="40"/>
              <w:jc w:val="left"/>
              <w:rPr>
                <w:u w:val="single"/>
              </w:rPr>
            </w:pPr>
            <w:r>
              <w:rPr>
                <w:rFonts w:eastAsia="Calibri" w:cs=""/>
                <w:kern w:val="0"/>
                <w:sz w:val="22"/>
                <w:szCs w:val="22"/>
                <w:u w:val="single"/>
                <w:lang w:val="pl-PL" w:eastAsia="en-US" w:bidi="ar-SA"/>
              </w:rPr>
              <w:t>spełnia wymagania na ocenę dobrą, a ponadto: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wnikliwie omawia cechy ballady,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wyjaśnia, na czym polega synkretyzm danego dzieła,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określa funkcje punktu kulminacyjnego w balladzie,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porządkuje zebrany materiał na temat utworów synkretycznych z kanonu lektur obowiązkowych,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interpretuje dzieła sztuki nawiązujące do </w:t>
            </w:r>
            <w:r>
              <w:rPr>
                <w:rFonts w:eastAsia="Calibri" w:cs=""/>
                <w:spacing w:val="-4"/>
                <w:kern w:val="0"/>
                <w:sz w:val="22"/>
                <w:szCs w:val="22"/>
                <w:lang w:val="pl-PL" w:eastAsia="en-US" w:bidi="ar-SA"/>
              </w:rPr>
              <w:t xml:space="preserve">poznanych 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utworów synkretycznych,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tworzy rozbudowane wypowiedzi inspirowane utworami synkretycznymi.</w:t>
            </w:r>
          </w:p>
        </w:tc>
        <w:tc>
          <w:tcPr>
            <w:tcW w:w="2871" w:type="dxa"/>
            <w:tcBorders>
              <w:top w:val="single" w:sz="2" w:space="0" w:color="0070C0"/>
              <w:left w:val="single" w:sz="6" w:space="0" w:color="4BACC6"/>
              <w:bottom w:val="single" w:sz="4" w:space="0" w:color="4BACC6"/>
              <w:right w:val="single" w:sz="4" w:space="0" w:color="4BACC6"/>
            </w:tcBorders>
          </w:tcPr>
          <w:p>
            <w:pPr>
              <w:pStyle w:val="Normal"/>
              <w:widowControl/>
              <w:spacing w:lineRule="auto" w:line="240" w:before="60" w:after="40"/>
              <w:jc w:val="left"/>
              <w:rPr>
                <w:u w:val="single"/>
              </w:rPr>
            </w:pPr>
            <w:r>
              <w:rPr>
                <w:rFonts w:eastAsia="Calibri" w:cs=""/>
                <w:kern w:val="0"/>
                <w:sz w:val="22"/>
                <w:szCs w:val="22"/>
                <w:u w:val="single"/>
                <w:lang w:val="pl-PL" w:eastAsia="en-US" w:bidi="ar-SA"/>
              </w:rPr>
              <w:t>spełnia wymagania na ocenę bardzo dobrą, a ponadto: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samodzielnie analizuje i interpretuje utwory synkretyczne z kanonu lektur obowiązkowych,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prezentuje według własnego pomysłu, również interaktywnie, świat przedstawiony w </w:t>
            </w:r>
            <w:r>
              <w:rPr>
                <w:rFonts w:eastAsia="Calibri" w:cs=""/>
                <w:spacing w:val="-4"/>
                <w:kern w:val="0"/>
                <w:sz w:val="22"/>
                <w:szCs w:val="22"/>
                <w:lang w:val="pl-PL" w:eastAsia="en-US" w:bidi="ar-SA"/>
              </w:rPr>
              <w:t xml:space="preserve">poznanych 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utworach synkretycznych.</w:t>
            </w:r>
          </w:p>
        </w:tc>
      </w:tr>
    </w:tbl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>
          <w:b/>
          <w:bCs/>
          <w:color w:val="FFC000"/>
          <w:sz w:val="32"/>
          <w:szCs w:val="32"/>
        </w:rPr>
      </w:pPr>
      <w:r>
        <w:rPr>
          <w:b/>
          <w:bCs/>
          <w:color w:val="FFC000"/>
          <w:sz w:val="32"/>
          <w:szCs w:val="32"/>
        </w:rPr>
      </w:r>
    </w:p>
    <w:p>
      <w:pPr>
        <w:pStyle w:val="Normal"/>
        <w:spacing w:before="0" w:after="0"/>
        <w:rPr>
          <w:sz w:val="32"/>
          <w:szCs w:val="32"/>
        </w:rPr>
      </w:pPr>
      <w:r>
        <w:rPr>
          <w:b/>
          <w:bCs/>
          <w:color w:val="FFC000"/>
          <w:sz w:val="32"/>
          <w:szCs w:val="32"/>
        </w:rPr>
        <w:t>I.2. Odbiór tekstów kultury</w:t>
      </w:r>
    </w:p>
    <w:p>
      <w:pPr>
        <w:pStyle w:val="Normal"/>
        <w:spacing w:before="0" w:after="0"/>
        <w:rPr/>
      </w:pPr>
      <w:r>
        <w:rPr/>
      </w:r>
    </w:p>
    <w:tbl>
      <w:tblPr>
        <w:tblStyle w:val="Tabela-Siatka"/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62"/>
        <w:gridCol w:w="3083"/>
        <w:gridCol w:w="2975"/>
        <w:gridCol w:w="2879"/>
        <w:gridCol w:w="2871"/>
      </w:tblGrid>
      <w:tr>
        <w:trPr>
          <w:tblHeader w:val="true"/>
          <w:trHeight w:val="205" w:hRule="atLeast"/>
          <w:cantSplit w:val="true"/>
        </w:trPr>
        <w:tc>
          <w:tcPr>
            <w:tcW w:w="14570" w:type="dxa"/>
            <w:gridSpan w:val="5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60" w:after="0"/>
              <w:jc w:val="center"/>
              <w:rPr>
                <w:rFonts w:cs="Calibri" w:cstheme="minorHAnsi"/>
                <w:b/>
                <w:bCs/>
                <w:color w:themeColor="background1" w:val="FFFFFF"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4"/>
                <w:szCs w:val="24"/>
                <w:lang w:val="pl-PL" w:eastAsia="en-US" w:bidi="ar-SA"/>
              </w:rPr>
              <w:t xml:space="preserve">Treści nauczania wskazane w </w:t>
            </w:r>
            <w:r>
              <w:rPr>
                <w:rFonts w:eastAsia="Calibri" w:cs="Calibri" w:cstheme="minorHAnsi"/>
                <w:b/>
                <w:bCs/>
                <w:i/>
                <w:iCs/>
                <w:color w:themeColor="background1" w:val="FFFFFF"/>
                <w:kern w:val="0"/>
                <w:sz w:val="24"/>
                <w:szCs w:val="24"/>
                <w:lang w:val="pl-PL" w:eastAsia="en-US" w:bidi="ar-SA"/>
              </w:rPr>
              <w:t xml:space="preserve">Podstawie programowej dla II etapu edukacyjnego </w:t>
            </w: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4"/>
                <w:szCs w:val="24"/>
                <w:lang w:val="pl-PL" w:eastAsia="en-US" w:bidi="ar-SA"/>
              </w:rPr>
              <w:t>(klasy 4–8)</w:t>
            </w:r>
          </w:p>
          <w:p>
            <w:pPr>
              <w:pStyle w:val="Normal"/>
              <w:widowControl/>
              <w:spacing w:lineRule="auto" w:line="240" w:before="0" w:after="60"/>
              <w:jc w:val="center"/>
              <w:rPr>
                <w:rFonts w:cs="Calibri" w:cstheme="minorHAnsi"/>
                <w:b/>
                <w:bC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4"/>
                <w:szCs w:val="24"/>
                <w:lang w:val="pl-PL" w:eastAsia="en-US" w:bidi="ar-SA"/>
              </w:rPr>
              <w:t xml:space="preserve">i zawarte w podręczniku </w:t>
            </w:r>
            <w:r>
              <w:rPr>
                <w:rFonts w:eastAsia="Calibri" w:cs="Calibri" w:cstheme="minorHAnsi"/>
                <w:b/>
                <w:bCs/>
                <w:i/>
                <w:iCs/>
                <w:color w:themeColor="background1" w:val="FFFFFF"/>
                <w:kern w:val="0"/>
                <w:sz w:val="24"/>
                <w:szCs w:val="24"/>
                <w:lang w:val="pl-PL" w:eastAsia="en-US" w:bidi="ar-SA"/>
              </w:rPr>
              <w:t>Zamieńmy słowo</w:t>
            </w: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4"/>
                <w:szCs w:val="24"/>
                <w:lang w:val="pl-PL" w:eastAsia="en-US" w:bidi="ar-SA"/>
              </w:rPr>
              <w:t xml:space="preserve"> dla klasy 8</w:t>
            </w:r>
          </w:p>
        </w:tc>
      </w:tr>
      <w:tr>
        <w:trPr>
          <w:tblHeader w:val="true"/>
          <w:trHeight w:val="340" w:hRule="atLeast"/>
          <w:cantSplit w:val="true"/>
        </w:trPr>
        <w:tc>
          <w:tcPr>
            <w:tcW w:w="2762" w:type="dxa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2"/>
                <w:szCs w:val="22"/>
                <w:lang w:val="pl-PL" w:eastAsia="en-US" w:bidi="ar-SA"/>
              </w:rPr>
              <w:t>ocena dopuszczająca</w:t>
            </w:r>
          </w:p>
        </w:tc>
        <w:tc>
          <w:tcPr>
            <w:tcW w:w="3083" w:type="dxa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2"/>
                <w:szCs w:val="22"/>
                <w:lang w:val="pl-PL" w:eastAsia="en-US" w:bidi="ar-SA"/>
              </w:rPr>
              <w:t>ocena dostateczna</w:t>
            </w:r>
          </w:p>
        </w:tc>
        <w:tc>
          <w:tcPr>
            <w:tcW w:w="2975" w:type="dxa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2"/>
                <w:szCs w:val="22"/>
                <w:lang w:val="pl-PL" w:eastAsia="en-US" w:bidi="ar-SA"/>
              </w:rPr>
              <w:t>ocena dobra</w:t>
            </w:r>
          </w:p>
        </w:tc>
        <w:tc>
          <w:tcPr>
            <w:tcW w:w="2879" w:type="dxa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2"/>
                <w:szCs w:val="22"/>
                <w:lang w:val="pl-PL" w:eastAsia="en-US" w:bidi="ar-SA"/>
              </w:rPr>
              <w:t>ocena bardzo dobra</w:t>
            </w:r>
          </w:p>
        </w:tc>
        <w:tc>
          <w:tcPr>
            <w:tcW w:w="2871" w:type="dxa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2"/>
                <w:szCs w:val="22"/>
                <w:lang w:val="pl-PL" w:eastAsia="en-US" w:bidi="ar-SA"/>
              </w:rPr>
              <w:t>ocena celująca</w:t>
            </w:r>
          </w:p>
        </w:tc>
      </w:tr>
      <w:tr>
        <w:trPr>
          <w:tblHeader w:val="true"/>
          <w:trHeight w:val="340" w:hRule="atLeast"/>
          <w:cantSplit w:val="true"/>
        </w:trPr>
        <w:tc>
          <w:tcPr>
            <w:tcW w:w="14570" w:type="dxa"/>
            <w:gridSpan w:val="5"/>
            <w:tcBorders>
              <w:top w:val="single" w:sz="4" w:space="0" w:color="FFFFFF"/>
              <w:left w:val="single" w:sz="6" w:space="0" w:color="FFFFFF"/>
              <w:bottom w:val="single" w:sz="2" w:space="0" w:color="0070C0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2"/>
                <w:szCs w:val="22"/>
                <w:lang w:val="pl-PL" w:eastAsia="en-US" w:bidi="ar-SA"/>
              </w:rPr>
              <w:t>Uczeń</w:t>
            </w:r>
          </w:p>
        </w:tc>
      </w:tr>
      <w:tr>
        <w:trPr>
          <w:tblHeader w:val="true"/>
          <w:trHeight w:val="397" w:hRule="atLeast"/>
          <w:cantSplit w:val="true"/>
        </w:trPr>
        <w:tc>
          <w:tcPr>
            <w:tcW w:w="14570" w:type="dxa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color="auto" w:fill="B6DDE8" w:themeFill="accent5" w:themeFillTint="66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cap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aps/>
                <w:kern w:val="0"/>
                <w:sz w:val="22"/>
                <w:szCs w:val="22"/>
                <w:lang w:val="pl-PL" w:eastAsia="en-US" w:bidi="ar-SA"/>
              </w:rPr>
              <w:t>INNE TEKSTY KULTURY</w:t>
            </w:r>
          </w:p>
        </w:tc>
      </w:tr>
      <w:tr>
        <w:trPr>
          <w:trHeight w:val="578" w:hRule="atLeast"/>
        </w:trPr>
        <w:tc>
          <w:tcPr>
            <w:tcW w:w="2762" w:type="dxa"/>
            <w:tcBorders>
              <w:top w:val="single" w:sz="2" w:space="0" w:color="0070C0"/>
              <w:left w:val="single" w:sz="4" w:space="0" w:color="4BACC6"/>
              <w:bottom w:val="single" w:sz="4" w:space="0" w:color="4BACC6"/>
              <w:right w:val="single" w:sz="6" w:space="0" w:color="4BACC6"/>
            </w:tcBorders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6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określa tematykę poznanych tekstów</w:t>
            </w:r>
          </w:p>
          <w:p>
            <w:pPr>
              <w:pStyle w:val="ListParagraph"/>
              <w:widowControl/>
              <w:spacing w:lineRule="auto" w:line="240" w:before="60" w:after="0"/>
              <w:ind w:left="227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kultury,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6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spacing w:val="-4"/>
                <w:kern w:val="0"/>
                <w:sz w:val="22"/>
                <w:szCs w:val="22"/>
                <w:lang w:val="pl-PL" w:eastAsia="en-US" w:bidi="ar-SA"/>
              </w:rPr>
              <w:t xml:space="preserve">wymienia elementy 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tekstu</w:t>
            </w:r>
          </w:p>
          <w:p>
            <w:pPr>
              <w:pStyle w:val="ListParagraph"/>
              <w:widowControl/>
              <w:spacing w:lineRule="auto" w:line="240" w:before="60" w:after="0"/>
              <w:ind w:left="227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kultury,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60" w:after="0"/>
              <w:contextualSpacing/>
              <w:jc w:val="left"/>
              <w:rPr>
                <w:spacing w:val="-4"/>
              </w:rPr>
            </w:pPr>
            <w:r>
              <w:rPr>
                <w:rFonts w:eastAsia="Calibri" w:cs=""/>
                <w:spacing w:val="-6"/>
                <w:kern w:val="0"/>
                <w:sz w:val="22"/>
                <w:szCs w:val="22"/>
                <w:lang w:val="pl-PL" w:eastAsia="en-US" w:bidi="ar-SA"/>
              </w:rPr>
              <w:t>nazywa wrażenia wywołane</w:t>
            </w:r>
            <w:r>
              <w:rPr>
                <w:rFonts w:eastAsia="Calibri" w:cs=""/>
                <w:spacing w:val="-4"/>
                <w:kern w:val="0"/>
                <w:sz w:val="22"/>
                <w:szCs w:val="22"/>
                <w:lang w:val="pl-PL" w:eastAsia="en-US" w:bidi="ar-SA"/>
              </w:rPr>
              <w:t xml:space="preserve"> tekstem kultury,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6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dostrzega różnice między </w:t>
            </w:r>
            <w:r>
              <w:rPr>
                <w:rFonts w:eastAsia="Calibri" w:cs=""/>
                <w:spacing w:val="-6"/>
                <w:kern w:val="0"/>
                <w:sz w:val="22"/>
                <w:szCs w:val="22"/>
                <w:lang w:val="pl-PL" w:eastAsia="en-US" w:bidi="ar-SA"/>
              </w:rPr>
              <w:t xml:space="preserve">literaturą piękną a literaturą </w:t>
            </w:r>
            <w:r>
              <w:rPr>
                <w:rFonts w:eastAsia="Calibri" w:cs=""/>
                <w:spacing w:val="-4"/>
                <w:kern w:val="0"/>
                <w:sz w:val="22"/>
                <w:szCs w:val="22"/>
                <w:lang w:val="pl-PL" w:eastAsia="en-US" w:bidi="ar-SA"/>
              </w:rPr>
              <w:t>publicystyczną,</w:t>
            </w:r>
            <w:r>
              <w:rPr>
                <w:rFonts w:eastAsia="Calibri" w:cs=""/>
                <w:spacing w:val="-6"/>
                <w:kern w:val="0"/>
                <w:sz w:val="22"/>
                <w:szCs w:val="22"/>
                <w:lang w:val="pl-PL" w:eastAsia="en-US" w:bidi="ar-SA"/>
              </w:rPr>
              <w:t xml:space="preserve"> naukową i </w:t>
            </w:r>
            <w:r>
              <w:rPr>
                <w:rFonts w:eastAsia="Calibri" w:cs=""/>
                <w:spacing w:val="-4"/>
                <w:kern w:val="0"/>
                <w:sz w:val="22"/>
                <w:szCs w:val="22"/>
                <w:lang w:val="pl-PL" w:eastAsia="en-US" w:bidi="ar-SA"/>
              </w:rPr>
              <w:t>popularnonaukową,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6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wie, że są różne gatunki dziennikarskie,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6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rozpoznaje wywiad, artykuł, reportaż wśród </w:t>
            </w:r>
            <w:r>
              <w:rPr>
                <w:rFonts w:eastAsia="Calibri" w:cs=""/>
                <w:spacing w:val="-6"/>
                <w:kern w:val="0"/>
                <w:sz w:val="22"/>
                <w:szCs w:val="22"/>
                <w:lang w:val="pl-PL" w:eastAsia="en-US" w:bidi="ar-SA"/>
              </w:rPr>
              <w:t>gatunków publicystycznych,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6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wie, co to jest lid.</w:t>
            </w:r>
          </w:p>
        </w:tc>
        <w:tc>
          <w:tcPr>
            <w:tcW w:w="3083" w:type="dxa"/>
            <w:tcBorders>
              <w:top w:val="single" w:sz="2" w:space="0" w:color="0070C0"/>
              <w:left w:val="single" w:sz="6" w:space="0" w:color="4BACC6"/>
              <w:bottom w:val="single" w:sz="4" w:space="0" w:color="4BACC6"/>
              <w:right w:val="single" w:sz="6" w:space="0" w:color="4BACC6"/>
            </w:tcBorders>
          </w:tcPr>
          <w:p>
            <w:pPr>
              <w:pStyle w:val="Normal"/>
              <w:widowControl/>
              <w:spacing w:lineRule="auto" w:line="240" w:before="60" w:after="40"/>
              <w:jc w:val="left"/>
              <w:rPr>
                <w:u w:val="single"/>
              </w:rPr>
            </w:pPr>
            <w:r>
              <w:rPr>
                <w:rFonts w:eastAsia="Calibri" w:cs=""/>
                <w:kern w:val="0"/>
                <w:sz w:val="22"/>
                <w:szCs w:val="22"/>
                <w:u w:val="single"/>
                <w:lang w:val="pl-PL" w:eastAsia="en-US" w:bidi="ar-SA"/>
              </w:rPr>
              <w:t>spełnia wymagania na ocenę dopuszczającą, a ponadto: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wyszukuje potrzebne informacje,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prezentuje elementy obrazu, grafiki, rzeźby, fotografii itp.,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spacing w:val="-4"/>
              </w:rPr>
            </w:pPr>
            <w:r>
              <w:rPr>
                <w:rFonts w:eastAsia="Calibri" w:cs=""/>
                <w:spacing w:val="-4"/>
                <w:kern w:val="0"/>
                <w:sz w:val="22"/>
                <w:szCs w:val="22"/>
                <w:lang w:val="pl-PL" w:eastAsia="en-US" w:bidi="ar-SA"/>
              </w:rPr>
              <w:t>cytuje odpowiednie fragmenty tekstu publicystycznego, popularnonaukowego lub naukowego,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rozpoznaje gatunki dziennikarskie: wywiad, artykuł, reportaż,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podaje funkcje lidu,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6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dostrzega wartości estetyczne poznanych tekstów kultury.</w:t>
            </w:r>
          </w:p>
        </w:tc>
        <w:tc>
          <w:tcPr>
            <w:tcW w:w="2975" w:type="dxa"/>
            <w:tcBorders>
              <w:top w:val="single" w:sz="2" w:space="0" w:color="0070C0"/>
              <w:left w:val="single" w:sz="6" w:space="0" w:color="4BACC6"/>
              <w:bottom w:val="single" w:sz="4" w:space="0" w:color="4BACC6"/>
              <w:right w:val="single" w:sz="6" w:space="0" w:color="4BACC6"/>
            </w:tcBorders>
          </w:tcPr>
          <w:p>
            <w:pPr>
              <w:pStyle w:val="Normal"/>
              <w:widowControl/>
              <w:spacing w:lineRule="auto" w:line="240" w:before="60" w:after="40"/>
              <w:jc w:val="left"/>
              <w:rPr>
                <w:u w:val="single"/>
              </w:rPr>
            </w:pPr>
            <w:r>
              <w:rPr>
                <w:rFonts w:eastAsia="Calibri" w:cs=""/>
                <w:kern w:val="0"/>
                <w:sz w:val="22"/>
                <w:szCs w:val="22"/>
                <w:u w:val="single"/>
                <w:lang w:val="pl-PL" w:eastAsia="en-US" w:bidi="ar-SA"/>
              </w:rPr>
              <w:t>spełnia wymagania na ocenę dostateczną, a ponadto: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wskazuje cechy tekstów kultury,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nazywa emocje, które mogą</w:t>
            </w:r>
          </w:p>
          <w:p>
            <w:pPr>
              <w:pStyle w:val="ListParagraph"/>
              <w:widowControl/>
              <w:spacing w:lineRule="auto" w:line="240" w:before="0" w:after="0"/>
              <w:ind w:left="227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odczuwać postacie z obrazu, grafiki, rzeźby, fotografii,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przedstawia własne rozumienie tekstu kultury,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określa funkcje literatury pięknej, publicystycznej, popularnonaukowej i naukowej,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określa podstawowe cechy wywiadu, artykułu, reportażu,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określa znaczenie lidu.</w:t>
            </w:r>
          </w:p>
        </w:tc>
        <w:tc>
          <w:tcPr>
            <w:tcW w:w="2879" w:type="dxa"/>
            <w:tcBorders>
              <w:top w:val="single" w:sz="2" w:space="0" w:color="0070C0"/>
              <w:left w:val="single" w:sz="6" w:space="0" w:color="4BACC6"/>
              <w:bottom w:val="single" w:sz="4" w:space="0" w:color="4BACC6"/>
              <w:right w:val="single" w:sz="6" w:space="0" w:color="4BACC6"/>
            </w:tcBorders>
          </w:tcPr>
          <w:p>
            <w:pPr>
              <w:pStyle w:val="Normal"/>
              <w:widowControl/>
              <w:spacing w:lineRule="auto" w:line="240" w:before="60" w:after="40"/>
              <w:jc w:val="left"/>
              <w:rPr>
                <w:u w:val="single"/>
              </w:rPr>
            </w:pPr>
            <w:r>
              <w:rPr>
                <w:rFonts w:eastAsia="Calibri" w:cs=""/>
                <w:kern w:val="0"/>
                <w:sz w:val="22"/>
                <w:szCs w:val="22"/>
                <w:u w:val="single"/>
                <w:lang w:val="pl-PL" w:eastAsia="en-US" w:bidi="ar-SA"/>
              </w:rPr>
              <w:t>spełnia wymagania na ocenę dobrą, a ponadto: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opowiada w kilku zdaniach  o problemie rozważanym</w:t>
            </w:r>
          </w:p>
          <w:p>
            <w:pPr>
              <w:pStyle w:val="ListParagraph"/>
              <w:widowControl/>
              <w:spacing w:lineRule="auto" w:line="240" w:before="0" w:after="0"/>
              <w:ind w:left="227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 tekście,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opisuje elementy obrazu, grafiki, rzeźby, fotografii,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uzasadnia własne rozumienie tekstu kultury,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znajduje w tekstach współczesnej kultury popularnej (np. w filmach, komiksach, piosenkach) nawiązania do tradycyjnych wątków literackich i kulturowych,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porównuje różne dzieła,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omawia  funkcje lidu.</w:t>
            </w:r>
          </w:p>
        </w:tc>
        <w:tc>
          <w:tcPr>
            <w:tcW w:w="2871" w:type="dxa"/>
            <w:tcBorders>
              <w:top w:val="single" w:sz="2" w:space="0" w:color="0070C0"/>
              <w:left w:val="single" w:sz="6" w:space="0" w:color="4BACC6"/>
              <w:bottom w:val="single" w:sz="4" w:space="0" w:color="4BACC6"/>
              <w:right w:val="single" w:sz="4" w:space="0" w:color="4BACC6"/>
            </w:tcBorders>
          </w:tcPr>
          <w:p>
            <w:pPr>
              <w:pStyle w:val="Normal"/>
              <w:widowControl/>
              <w:spacing w:lineRule="auto" w:line="240" w:before="60" w:after="40"/>
              <w:jc w:val="left"/>
              <w:rPr>
                <w:u w:val="single"/>
              </w:rPr>
            </w:pPr>
            <w:r>
              <w:rPr>
                <w:rFonts w:eastAsia="Calibri" w:cs=""/>
                <w:kern w:val="0"/>
                <w:sz w:val="22"/>
                <w:szCs w:val="22"/>
                <w:u w:val="single"/>
                <w:lang w:val="pl-PL" w:eastAsia="en-US" w:bidi="ar-SA"/>
              </w:rPr>
              <w:t>spełnia wymagania na ocenę bardzo dobrą, a ponadto: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omawia elementy sztuki plastycznej: plan, barwy, kompozycję, światło, ruch,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dokonuje przekładu intersemiotycznego, np. tworzy historię, która mogłaby się wydarzyć w miejscu ukazanym na obrazie czy fotografii,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przedstawia własną interpretację dzieła sztuki.</w:t>
            </w:r>
          </w:p>
        </w:tc>
      </w:tr>
    </w:tbl>
    <w:p>
      <w:pPr>
        <w:pStyle w:val="Normal"/>
        <w:spacing w:before="0" w:after="0"/>
        <w:rPr>
          <w:b/>
          <w:bCs/>
          <w:color w:themeColor="text1" w:themeTint="80" w:val="7F7F7F"/>
          <w:sz w:val="36"/>
          <w:szCs w:val="36"/>
        </w:rPr>
      </w:pPr>
      <w:r>
        <w:rPr>
          <w:b/>
          <w:bCs/>
          <w:color w:themeColor="text1" w:themeTint="80" w:val="7F7F7F"/>
          <w:sz w:val="36"/>
          <w:szCs w:val="36"/>
        </w:rPr>
      </w:r>
    </w:p>
    <w:p>
      <w:pPr>
        <w:pStyle w:val="Normal"/>
        <w:shd w:val="clear" w:color="auto" w:fill="FFC000"/>
        <w:spacing w:before="0" w:after="0"/>
        <w:rPr>
          <w:b/>
          <w:bCs/>
          <w:caps/>
          <w:color w:themeColor="text1" w:themeTint="80" w:val="7F7F7F"/>
          <w:sz w:val="36"/>
          <w:szCs w:val="36"/>
        </w:rPr>
      </w:pPr>
      <w:r>
        <w:rPr>
          <w:b/>
          <w:bCs/>
          <w:color w:themeColor="text1" w:themeTint="80" w:val="7F7F7F"/>
          <w:sz w:val="36"/>
          <w:szCs w:val="36"/>
        </w:rPr>
        <w:t xml:space="preserve">II. </w:t>
      </w:r>
      <w:r>
        <w:rPr>
          <w:b/>
          <w:bCs/>
          <w:caps/>
          <w:color w:themeColor="text1" w:themeTint="80" w:val="7F7F7F"/>
          <w:sz w:val="36"/>
          <w:szCs w:val="36"/>
        </w:rPr>
        <w:t>Kształcenie JĘZYKOWE</w:t>
      </w:r>
    </w:p>
    <w:p>
      <w:pPr>
        <w:pStyle w:val="Normal"/>
        <w:spacing w:before="120" w:after="240"/>
        <w:rPr>
          <w:b/>
          <w:bCs/>
          <w:color w:val="FFC000"/>
          <w:sz w:val="32"/>
          <w:szCs w:val="32"/>
        </w:rPr>
      </w:pPr>
      <w:r>
        <w:rPr>
          <w:b/>
          <w:bCs/>
          <w:color w:val="FFC000"/>
          <w:sz w:val="32"/>
          <w:szCs w:val="32"/>
        </w:rPr>
        <w:t xml:space="preserve">II.1. Gramatyka języka polskiego – fonetyka </w:t>
      </w:r>
    </w:p>
    <w:tbl>
      <w:tblPr>
        <w:tblStyle w:val="Tabela-Siatka"/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62"/>
        <w:gridCol w:w="3083"/>
        <w:gridCol w:w="2975"/>
        <w:gridCol w:w="2879"/>
        <w:gridCol w:w="2871"/>
      </w:tblGrid>
      <w:tr>
        <w:trPr>
          <w:tblHeader w:val="true"/>
          <w:trHeight w:val="205" w:hRule="atLeast"/>
          <w:cantSplit w:val="true"/>
        </w:trPr>
        <w:tc>
          <w:tcPr>
            <w:tcW w:w="14570" w:type="dxa"/>
            <w:gridSpan w:val="5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60" w:after="0"/>
              <w:jc w:val="center"/>
              <w:rPr>
                <w:rFonts w:cs="Calibri" w:cstheme="minorHAnsi"/>
                <w:b/>
                <w:bCs/>
                <w:color w:themeColor="background1" w:val="FFFFFF"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4"/>
                <w:szCs w:val="24"/>
                <w:lang w:val="pl-PL" w:eastAsia="en-US" w:bidi="ar-SA"/>
              </w:rPr>
              <w:t xml:space="preserve">Treści nauczania wskazane w </w:t>
            </w:r>
            <w:r>
              <w:rPr>
                <w:rFonts w:eastAsia="Calibri" w:cs="Calibri" w:cstheme="minorHAnsi"/>
                <w:b/>
                <w:bCs/>
                <w:i/>
                <w:iCs/>
                <w:color w:themeColor="background1" w:val="FFFFFF"/>
                <w:kern w:val="0"/>
                <w:sz w:val="24"/>
                <w:szCs w:val="24"/>
                <w:lang w:val="pl-PL" w:eastAsia="en-US" w:bidi="ar-SA"/>
              </w:rPr>
              <w:t xml:space="preserve">Podstawie programowej dla II etapu edukacyjnego </w:t>
            </w: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4"/>
                <w:szCs w:val="24"/>
                <w:lang w:val="pl-PL" w:eastAsia="en-US" w:bidi="ar-SA"/>
              </w:rPr>
              <w:t>(klasy 4–8)</w:t>
            </w:r>
          </w:p>
          <w:p>
            <w:pPr>
              <w:pStyle w:val="Normal"/>
              <w:widowControl/>
              <w:spacing w:lineRule="auto" w:line="240" w:before="0" w:after="60"/>
              <w:jc w:val="center"/>
              <w:rPr>
                <w:rFonts w:cs="Calibri" w:cstheme="minorHAnsi"/>
                <w:b/>
                <w:bC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4"/>
                <w:szCs w:val="24"/>
                <w:lang w:val="pl-PL" w:eastAsia="en-US" w:bidi="ar-SA"/>
              </w:rPr>
              <w:t xml:space="preserve">i zawarte w podręczniku </w:t>
            </w:r>
            <w:r>
              <w:rPr>
                <w:rFonts w:eastAsia="Calibri" w:cs="Calibri" w:cstheme="minorHAnsi"/>
                <w:b/>
                <w:bCs/>
                <w:i/>
                <w:iCs/>
                <w:color w:themeColor="background1" w:val="FFFFFF"/>
                <w:kern w:val="0"/>
                <w:sz w:val="24"/>
                <w:szCs w:val="24"/>
                <w:lang w:val="pl-PL" w:eastAsia="en-US" w:bidi="ar-SA"/>
              </w:rPr>
              <w:t>Zamieńmy słowo</w:t>
            </w: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4"/>
                <w:szCs w:val="24"/>
                <w:lang w:val="pl-PL" w:eastAsia="en-US" w:bidi="ar-SA"/>
              </w:rPr>
              <w:t xml:space="preserve"> dla klasy 8</w:t>
            </w:r>
          </w:p>
        </w:tc>
      </w:tr>
      <w:tr>
        <w:trPr>
          <w:tblHeader w:val="true"/>
          <w:trHeight w:val="340" w:hRule="atLeast"/>
          <w:cantSplit w:val="true"/>
        </w:trPr>
        <w:tc>
          <w:tcPr>
            <w:tcW w:w="2762" w:type="dxa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2"/>
                <w:szCs w:val="22"/>
                <w:lang w:val="pl-PL" w:eastAsia="en-US" w:bidi="ar-SA"/>
              </w:rPr>
              <w:t>ocena dopuszczająca</w:t>
            </w:r>
          </w:p>
        </w:tc>
        <w:tc>
          <w:tcPr>
            <w:tcW w:w="3083" w:type="dxa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2"/>
                <w:szCs w:val="22"/>
                <w:lang w:val="pl-PL" w:eastAsia="en-US" w:bidi="ar-SA"/>
              </w:rPr>
              <w:t>ocena dostateczna</w:t>
            </w:r>
          </w:p>
        </w:tc>
        <w:tc>
          <w:tcPr>
            <w:tcW w:w="2975" w:type="dxa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2"/>
                <w:szCs w:val="22"/>
                <w:lang w:val="pl-PL" w:eastAsia="en-US" w:bidi="ar-SA"/>
              </w:rPr>
              <w:t>ocena dobra</w:t>
            </w:r>
          </w:p>
        </w:tc>
        <w:tc>
          <w:tcPr>
            <w:tcW w:w="2879" w:type="dxa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2"/>
                <w:szCs w:val="22"/>
                <w:lang w:val="pl-PL" w:eastAsia="en-US" w:bidi="ar-SA"/>
              </w:rPr>
              <w:t>ocena bardzo dobra</w:t>
            </w:r>
          </w:p>
        </w:tc>
        <w:tc>
          <w:tcPr>
            <w:tcW w:w="2871" w:type="dxa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2"/>
                <w:szCs w:val="22"/>
                <w:lang w:val="pl-PL" w:eastAsia="en-US" w:bidi="ar-SA"/>
              </w:rPr>
              <w:t>ocena celująca</w:t>
            </w:r>
          </w:p>
        </w:tc>
      </w:tr>
      <w:tr>
        <w:trPr>
          <w:tblHeader w:val="true"/>
          <w:trHeight w:val="340" w:hRule="atLeast"/>
          <w:cantSplit w:val="true"/>
        </w:trPr>
        <w:tc>
          <w:tcPr>
            <w:tcW w:w="14570" w:type="dxa"/>
            <w:gridSpan w:val="5"/>
            <w:tcBorders>
              <w:top w:val="single" w:sz="4" w:space="0" w:color="FFFFFF"/>
              <w:left w:val="single" w:sz="6" w:space="0" w:color="FFFFFF"/>
              <w:bottom w:val="single" w:sz="2" w:space="0" w:color="0070C0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2"/>
                <w:szCs w:val="22"/>
                <w:lang w:val="pl-PL" w:eastAsia="en-US" w:bidi="ar-SA"/>
              </w:rPr>
              <w:t>Uczeń</w:t>
            </w:r>
          </w:p>
        </w:tc>
      </w:tr>
      <w:tr>
        <w:trPr>
          <w:tblHeader w:val="true"/>
          <w:trHeight w:val="397" w:hRule="atLeast"/>
          <w:cantSplit w:val="true"/>
        </w:trPr>
        <w:tc>
          <w:tcPr>
            <w:tcW w:w="14570" w:type="dxa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color="auto" w:fill="B6DDE8" w:themeFill="accent5" w:themeFillTint="66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cap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aps/>
                <w:kern w:val="0"/>
                <w:sz w:val="22"/>
                <w:szCs w:val="22"/>
                <w:lang w:val="pl-PL" w:eastAsia="en-US" w:bidi="ar-SA"/>
              </w:rPr>
              <w:t>FONETYKA</w:t>
            </w:r>
          </w:p>
        </w:tc>
      </w:tr>
      <w:tr>
        <w:trPr>
          <w:trHeight w:val="1429" w:hRule="atLeast"/>
        </w:trPr>
        <w:tc>
          <w:tcPr>
            <w:tcW w:w="2762" w:type="dxa"/>
            <w:tcBorders>
              <w:top w:val="single" w:sz="2" w:space="0" w:color="0070C0"/>
              <w:left w:val="single" w:sz="4" w:space="0" w:color="4BACC6"/>
              <w:bottom w:val="single" w:sz="4" w:space="0" w:color="4BACC6"/>
              <w:right w:val="single" w:sz="6" w:space="0" w:color="4BACC6"/>
            </w:tcBorders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6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zna pojęcie </w:t>
            </w:r>
            <w:r>
              <w:rPr>
                <w:rFonts w:eastAsia="Calibri" w:cs=""/>
                <w:i/>
                <w:iCs/>
                <w:kern w:val="0"/>
                <w:sz w:val="22"/>
                <w:szCs w:val="22"/>
                <w:lang w:val="pl-PL" w:eastAsia="en-US" w:bidi="ar-SA"/>
              </w:rPr>
              <w:t>fonetyka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6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zna zasady dzielenia wyrazów na głoski i sylaby,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6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rozpoznaje samogłoski i spółgłoski,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6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wie, że</w:t>
            </w:r>
            <w:r>
              <w:rPr>
                <w:rFonts w:eastAsia="Calibri" w:cs=""/>
                <w:i/>
                <w:iCs/>
                <w:kern w:val="0"/>
                <w:sz w:val="22"/>
                <w:szCs w:val="22"/>
                <w:lang w:val="pl-PL" w:eastAsia="en-US" w:bidi="ar-SA"/>
              </w:rPr>
              <w:t xml:space="preserve"> i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 w wyrazie może pełnić różne funkcje,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6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spacing w:val="-4"/>
                <w:kern w:val="0"/>
                <w:sz w:val="22"/>
                <w:szCs w:val="22"/>
                <w:lang w:val="pl-PL" w:eastAsia="en-US" w:bidi="ar-SA"/>
              </w:rPr>
              <w:t>wie, czym są upodobnienia fonetyczne,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6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zna reguły akcentowania w języku polskim.</w:t>
            </w:r>
          </w:p>
        </w:tc>
        <w:tc>
          <w:tcPr>
            <w:tcW w:w="3083" w:type="dxa"/>
            <w:tcBorders>
              <w:top w:val="single" w:sz="2" w:space="0" w:color="0070C0"/>
              <w:left w:val="single" w:sz="6" w:space="0" w:color="4BACC6"/>
              <w:bottom w:val="single" w:sz="4" w:space="0" w:color="4BACC6"/>
              <w:right w:val="single" w:sz="6" w:space="0" w:color="4BACC6"/>
            </w:tcBorders>
          </w:tcPr>
          <w:p>
            <w:pPr>
              <w:pStyle w:val="Normal"/>
              <w:widowControl/>
              <w:spacing w:lineRule="auto" w:line="240" w:before="60" w:after="40"/>
              <w:jc w:val="left"/>
              <w:rPr>
                <w:u w:val="single"/>
              </w:rPr>
            </w:pPr>
            <w:r>
              <w:rPr>
                <w:rFonts w:eastAsia="Calibri" w:cs=""/>
                <w:kern w:val="0"/>
                <w:sz w:val="22"/>
                <w:szCs w:val="22"/>
                <w:u w:val="single"/>
                <w:lang w:val="pl-PL" w:eastAsia="en-US" w:bidi="ar-SA"/>
              </w:rPr>
              <w:t>spełnia wymagania na ocenę dopuszczającą, a ponadto: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rozumie, czym zajmuje się</w:t>
            </w:r>
          </w:p>
          <w:p>
            <w:pPr>
              <w:pStyle w:val="ListParagraph"/>
              <w:widowControl/>
              <w:spacing w:lineRule="auto" w:line="240" w:before="0" w:after="0"/>
              <w:ind w:left="227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fonetyka,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spacing w:val="-6"/>
              </w:rPr>
            </w:pPr>
            <w:r>
              <w:rPr>
                <w:rFonts w:eastAsia="Calibri" w:cs=""/>
                <w:spacing w:val="-6"/>
                <w:kern w:val="0"/>
                <w:sz w:val="22"/>
                <w:szCs w:val="22"/>
                <w:lang w:val="pl-PL" w:eastAsia="en-US" w:bidi="ar-SA"/>
              </w:rPr>
              <w:t>rozróżnia rodzaje głosek,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rozumie funkcje głoski </w:t>
            </w:r>
            <w:r>
              <w:rPr>
                <w:rFonts w:eastAsia="Calibri" w:cs=""/>
                <w:i/>
                <w:iCs/>
                <w:kern w:val="0"/>
                <w:sz w:val="22"/>
                <w:szCs w:val="22"/>
                <w:lang w:val="pl-PL" w:eastAsia="en-US" w:bidi="ar-SA"/>
              </w:rPr>
              <w:t>i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rozumie, na czym polegają zjawiska fonetyczne w polszczyźnie,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spacing w:val="-4"/>
              </w:rPr>
            </w:pPr>
            <w:r>
              <w:rPr>
                <w:rFonts w:eastAsia="Calibri" w:cs=""/>
                <w:spacing w:val="-4"/>
                <w:kern w:val="0"/>
                <w:sz w:val="22"/>
                <w:szCs w:val="22"/>
                <w:lang w:val="pl-PL" w:eastAsia="en-US" w:bidi="ar-SA"/>
              </w:rPr>
              <w:t>wymienia reguły akcentowania w języku polskim,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20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rozpoznaje wyjątki od zasad akcentowania.</w:t>
            </w:r>
          </w:p>
        </w:tc>
        <w:tc>
          <w:tcPr>
            <w:tcW w:w="2975" w:type="dxa"/>
            <w:tcBorders>
              <w:top w:val="single" w:sz="2" w:space="0" w:color="0070C0"/>
              <w:left w:val="single" w:sz="6" w:space="0" w:color="4BACC6"/>
              <w:bottom w:val="single" w:sz="4" w:space="0" w:color="4BACC6"/>
              <w:right w:val="single" w:sz="6" w:space="0" w:color="4BACC6"/>
            </w:tcBorders>
          </w:tcPr>
          <w:p>
            <w:pPr>
              <w:pStyle w:val="Normal"/>
              <w:widowControl/>
              <w:spacing w:lineRule="auto" w:line="240" w:before="60" w:after="40"/>
              <w:jc w:val="left"/>
              <w:rPr>
                <w:u w:val="single"/>
              </w:rPr>
            </w:pPr>
            <w:r>
              <w:rPr>
                <w:rFonts w:eastAsia="Calibri" w:cs=""/>
                <w:kern w:val="0"/>
                <w:sz w:val="22"/>
                <w:szCs w:val="22"/>
                <w:u w:val="single"/>
                <w:lang w:val="pl-PL" w:eastAsia="en-US" w:bidi="ar-SA"/>
              </w:rPr>
              <w:t>spełnia wymagania na ocenę dostateczną, a ponadto: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poprawnie dzieli wyrazy na litery, głoski i sylaby,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poprawnie przenosi wyrazy,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określa rolę samogłoski </w:t>
            </w:r>
            <w:r>
              <w:rPr>
                <w:rFonts w:eastAsia="Calibri" w:cs=""/>
                <w:i/>
                <w:iCs/>
                <w:kern w:val="0"/>
                <w:sz w:val="22"/>
                <w:szCs w:val="22"/>
                <w:lang w:val="pl-PL" w:eastAsia="en-US" w:bidi="ar-SA"/>
              </w:rPr>
              <w:t>i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omawia mechanizm upodobnień fonetycznych,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stosuje reguły akcentowania w języku polskim oraz prawidłową intonację,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wymienia wyjątki od zasad akcentowania.</w:t>
            </w:r>
          </w:p>
        </w:tc>
        <w:tc>
          <w:tcPr>
            <w:tcW w:w="2879" w:type="dxa"/>
            <w:tcBorders>
              <w:top w:val="single" w:sz="2" w:space="0" w:color="0070C0"/>
              <w:left w:val="single" w:sz="6" w:space="0" w:color="4BACC6"/>
              <w:bottom w:val="single" w:sz="4" w:space="0" w:color="4BACC6"/>
              <w:right w:val="single" w:sz="6" w:space="0" w:color="4BACC6"/>
            </w:tcBorders>
          </w:tcPr>
          <w:p>
            <w:pPr>
              <w:pStyle w:val="Normal"/>
              <w:widowControl/>
              <w:spacing w:lineRule="auto" w:line="240" w:before="60" w:after="40"/>
              <w:jc w:val="left"/>
              <w:rPr>
                <w:u w:val="single"/>
              </w:rPr>
            </w:pPr>
            <w:r>
              <w:rPr>
                <w:rFonts w:eastAsia="Calibri" w:cs=""/>
                <w:kern w:val="0"/>
                <w:sz w:val="22"/>
                <w:szCs w:val="22"/>
                <w:u w:val="single"/>
                <w:lang w:val="pl-PL" w:eastAsia="en-US" w:bidi="ar-SA"/>
              </w:rPr>
              <w:t>spełnia wymagania na ocenę dobrą, a ponadto: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rozpoznaje rodzaje wszystkich głosek i omawia ich cechy,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rozpoznaje funkcję litery </w:t>
            </w:r>
            <w:r>
              <w:rPr>
                <w:rFonts w:eastAsia="Calibri" w:cs=""/>
                <w:i/>
                <w:iCs/>
                <w:kern w:val="0"/>
                <w:sz w:val="22"/>
                <w:szCs w:val="22"/>
                <w:lang w:val="pl-PL" w:eastAsia="en-US" w:bidi="ar-SA"/>
              </w:rPr>
              <w:t>i 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  wyrazie,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objaśnia mechanizm upodobnień fonetycznych, podaje ich przykłady,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wypowiada się z prawidłową intonacją,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prawidłowo akcentuje wyrazy i zdania oraz wyjątki.</w:t>
            </w:r>
          </w:p>
        </w:tc>
        <w:tc>
          <w:tcPr>
            <w:tcW w:w="2871" w:type="dxa"/>
            <w:tcBorders>
              <w:top w:val="single" w:sz="2" w:space="0" w:color="0070C0"/>
              <w:left w:val="single" w:sz="6" w:space="0" w:color="4BACC6"/>
              <w:bottom w:val="single" w:sz="4" w:space="0" w:color="4BACC6"/>
              <w:right w:val="single" w:sz="4" w:space="0" w:color="4BACC6"/>
            </w:tcBorders>
          </w:tcPr>
          <w:p>
            <w:pPr>
              <w:pStyle w:val="Normal"/>
              <w:widowControl/>
              <w:spacing w:lineRule="auto" w:line="240" w:before="60" w:after="40"/>
              <w:jc w:val="left"/>
              <w:rPr>
                <w:u w:val="single"/>
              </w:rPr>
            </w:pPr>
            <w:r>
              <w:rPr>
                <w:rFonts w:eastAsia="Calibri" w:cs=""/>
                <w:kern w:val="0"/>
                <w:sz w:val="22"/>
                <w:szCs w:val="22"/>
                <w:u w:val="single"/>
                <w:lang w:val="pl-PL" w:eastAsia="en-US" w:bidi="ar-SA"/>
              </w:rPr>
              <w:t>spełnia wymagania na ocenę bardzo dobrą, a ponadto: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rozumie i wykorzystuje  wiedzę o głoskach oraz  upodobnieniach do poprawnego mówienia i pisania,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świadomie i bezbłędnie akcentuje wyrazy i zdania we wszystkich swoich wypowiedziach oraz podczas czytania i recytacji.</w:t>
            </w:r>
          </w:p>
        </w:tc>
      </w:tr>
    </w:tbl>
    <w:p>
      <w:pPr>
        <w:pStyle w:val="Normal"/>
        <w:spacing w:before="120" w:after="240"/>
        <w:rPr>
          <w:b/>
          <w:bCs/>
          <w:color w:val="FFC000"/>
          <w:sz w:val="32"/>
          <w:szCs w:val="32"/>
        </w:rPr>
      </w:pPr>
      <w:r>
        <w:rPr>
          <w:b/>
          <w:bCs/>
          <w:color w:val="FFC000"/>
          <w:sz w:val="32"/>
          <w:szCs w:val="32"/>
        </w:rPr>
      </w:r>
    </w:p>
    <w:p>
      <w:pPr>
        <w:pStyle w:val="Normal"/>
        <w:spacing w:before="120" w:after="240"/>
        <w:rPr>
          <w:b/>
          <w:bCs/>
          <w:color w:val="FFC000"/>
          <w:sz w:val="32"/>
          <w:szCs w:val="32"/>
        </w:rPr>
      </w:pPr>
      <w:r>
        <w:rPr>
          <w:b/>
          <w:bCs/>
          <w:color w:val="FFC000"/>
          <w:sz w:val="32"/>
          <w:szCs w:val="32"/>
        </w:rPr>
      </w:r>
    </w:p>
    <w:p>
      <w:pPr>
        <w:pStyle w:val="Normal"/>
        <w:spacing w:before="120" w:after="240"/>
        <w:rPr>
          <w:b/>
          <w:bCs/>
          <w:color w:val="FFC000"/>
          <w:sz w:val="32"/>
          <w:szCs w:val="32"/>
        </w:rPr>
      </w:pPr>
      <w:r>
        <w:rPr>
          <w:b/>
          <w:bCs/>
          <w:color w:val="FFC000"/>
          <w:sz w:val="32"/>
          <w:szCs w:val="32"/>
        </w:rPr>
        <w:t xml:space="preserve">II.1. Gramatyka języka polskiego – słowotwórstwo </w:t>
      </w:r>
    </w:p>
    <w:tbl>
      <w:tblPr>
        <w:tblStyle w:val="Tabela-Siatka"/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62"/>
        <w:gridCol w:w="3083"/>
        <w:gridCol w:w="2975"/>
        <w:gridCol w:w="2879"/>
        <w:gridCol w:w="2871"/>
      </w:tblGrid>
      <w:tr>
        <w:trPr>
          <w:tblHeader w:val="true"/>
          <w:trHeight w:val="205" w:hRule="atLeast"/>
          <w:cantSplit w:val="true"/>
        </w:trPr>
        <w:tc>
          <w:tcPr>
            <w:tcW w:w="14570" w:type="dxa"/>
            <w:gridSpan w:val="5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60" w:after="0"/>
              <w:jc w:val="center"/>
              <w:rPr>
                <w:rFonts w:cs="Calibri" w:cstheme="minorHAnsi"/>
                <w:b/>
                <w:bCs/>
                <w:color w:themeColor="background1" w:val="FFFFFF"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4"/>
                <w:szCs w:val="24"/>
                <w:lang w:val="pl-PL" w:eastAsia="en-US" w:bidi="ar-SA"/>
              </w:rPr>
              <w:t xml:space="preserve">Treści nauczania wskazane w </w:t>
            </w:r>
            <w:r>
              <w:rPr>
                <w:rFonts w:eastAsia="Calibri" w:cs="Calibri" w:cstheme="minorHAnsi"/>
                <w:b/>
                <w:bCs/>
                <w:i/>
                <w:iCs/>
                <w:color w:themeColor="background1" w:val="FFFFFF"/>
                <w:kern w:val="0"/>
                <w:sz w:val="24"/>
                <w:szCs w:val="24"/>
                <w:lang w:val="pl-PL" w:eastAsia="en-US" w:bidi="ar-SA"/>
              </w:rPr>
              <w:t xml:space="preserve">Podstawie programowej dla II etapu edukacyjnego </w:t>
            </w: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4"/>
                <w:szCs w:val="24"/>
                <w:lang w:val="pl-PL" w:eastAsia="en-US" w:bidi="ar-SA"/>
              </w:rPr>
              <w:t>(klasy 4–8)</w:t>
            </w:r>
          </w:p>
          <w:p>
            <w:pPr>
              <w:pStyle w:val="Normal"/>
              <w:widowControl/>
              <w:spacing w:lineRule="auto" w:line="240" w:before="0" w:after="60"/>
              <w:jc w:val="center"/>
              <w:rPr>
                <w:rFonts w:cs="Calibri" w:cstheme="minorHAnsi"/>
                <w:b/>
                <w:bC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4"/>
                <w:szCs w:val="24"/>
                <w:lang w:val="pl-PL" w:eastAsia="en-US" w:bidi="ar-SA"/>
              </w:rPr>
              <w:t xml:space="preserve">i zawarte w podręczniku </w:t>
            </w:r>
            <w:r>
              <w:rPr>
                <w:rFonts w:eastAsia="Calibri" w:cs="Calibri" w:cstheme="minorHAnsi"/>
                <w:b/>
                <w:bCs/>
                <w:i/>
                <w:iCs/>
                <w:color w:themeColor="background1" w:val="FFFFFF"/>
                <w:kern w:val="0"/>
                <w:sz w:val="24"/>
                <w:szCs w:val="24"/>
                <w:lang w:val="pl-PL" w:eastAsia="en-US" w:bidi="ar-SA"/>
              </w:rPr>
              <w:t>Zamieńmy słowo</w:t>
            </w: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4"/>
                <w:szCs w:val="24"/>
                <w:lang w:val="pl-PL" w:eastAsia="en-US" w:bidi="ar-SA"/>
              </w:rPr>
              <w:t xml:space="preserve"> dla klasy 8</w:t>
            </w:r>
          </w:p>
        </w:tc>
      </w:tr>
      <w:tr>
        <w:trPr>
          <w:tblHeader w:val="true"/>
          <w:trHeight w:val="340" w:hRule="atLeast"/>
          <w:cantSplit w:val="true"/>
        </w:trPr>
        <w:tc>
          <w:tcPr>
            <w:tcW w:w="2762" w:type="dxa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2"/>
                <w:szCs w:val="22"/>
                <w:lang w:val="pl-PL" w:eastAsia="en-US" w:bidi="ar-SA"/>
              </w:rPr>
              <w:t>ocena dopuszczająca</w:t>
            </w:r>
          </w:p>
        </w:tc>
        <w:tc>
          <w:tcPr>
            <w:tcW w:w="3083" w:type="dxa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2"/>
                <w:szCs w:val="22"/>
                <w:lang w:val="pl-PL" w:eastAsia="en-US" w:bidi="ar-SA"/>
              </w:rPr>
              <w:t>ocena dostateczna</w:t>
            </w:r>
          </w:p>
        </w:tc>
        <w:tc>
          <w:tcPr>
            <w:tcW w:w="2975" w:type="dxa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2"/>
                <w:szCs w:val="22"/>
                <w:lang w:val="pl-PL" w:eastAsia="en-US" w:bidi="ar-SA"/>
              </w:rPr>
              <w:t>ocena dobra</w:t>
            </w:r>
          </w:p>
        </w:tc>
        <w:tc>
          <w:tcPr>
            <w:tcW w:w="2879" w:type="dxa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2"/>
                <w:szCs w:val="22"/>
                <w:lang w:val="pl-PL" w:eastAsia="en-US" w:bidi="ar-SA"/>
              </w:rPr>
              <w:t>ocena bardzo dobra</w:t>
            </w:r>
          </w:p>
        </w:tc>
        <w:tc>
          <w:tcPr>
            <w:tcW w:w="2871" w:type="dxa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2"/>
                <w:szCs w:val="22"/>
                <w:lang w:val="pl-PL" w:eastAsia="en-US" w:bidi="ar-SA"/>
              </w:rPr>
              <w:t>ocena celująca</w:t>
            </w:r>
          </w:p>
        </w:tc>
      </w:tr>
      <w:tr>
        <w:trPr>
          <w:tblHeader w:val="true"/>
          <w:trHeight w:val="340" w:hRule="atLeast"/>
          <w:cantSplit w:val="true"/>
        </w:trPr>
        <w:tc>
          <w:tcPr>
            <w:tcW w:w="14570" w:type="dxa"/>
            <w:gridSpan w:val="5"/>
            <w:tcBorders>
              <w:top w:val="single" w:sz="4" w:space="0" w:color="FFFFFF"/>
              <w:left w:val="single" w:sz="6" w:space="0" w:color="FFFFFF"/>
              <w:bottom w:val="single" w:sz="2" w:space="0" w:color="0070C0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2"/>
                <w:szCs w:val="22"/>
                <w:lang w:val="pl-PL" w:eastAsia="en-US" w:bidi="ar-SA"/>
              </w:rPr>
              <w:t>Uczeń</w:t>
            </w:r>
          </w:p>
        </w:tc>
      </w:tr>
      <w:tr>
        <w:trPr>
          <w:tblHeader w:val="true"/>
          <w:trHeight w:val="397" w:hRule="atLeast"/>
          <w:cantSplit w:val="true"/>
        </w:trPr>
        <w:tc>
          <w:tcPr>
            <w:tcW w:w="14570" w:type="dxa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color="auto" w:fill="B6DDE8" w:themeFill="accent5" w:themeFillTint="66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cap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aps/>
                <w:kern w:val="0"/>
                <w:sz w:val="22"/>
                <w:szCs w:val="22"/>
                <w:lang w:val="pl-PL" w:eastAsia="en-US" w:bidi="ar-SA"/>
              </w:rPr>
              <w:t>SŁOWOTWÓRSTWO</w:t>
            </w:r>
          </w:p>
        </w:tc>
      </w:tr>
      <w:tr>
        <w:trPr>
          <w:trHeight w:val="5861" w:hRule="atLeast"/>
        </w:trPr>
        <w:tc>
          <w:tcPr>
            <w:tcW w:w="2762" w:type="dxa"/>
            <w:tcBorders>
              <w:top w:val="single" w:sz="2" w:space="0" w:color="0070C0"/>
              <w:left w:val="single" w:sz="4" w:space="0" w:color="4BACC6"/>
              <w:bottom w:val="single" w:sz="4" w:space="0" w:color="4BACC6"/>
              <w:right w:val="single" w:sz="6" w:space="0" w:color="4BACC6"/>
            </w:tcBorders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6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zna pojęcia: </w:t>
            </w:r>
            <w:r>
              <w:rPr>
                <w:rFonts w:eastAsia="Calibri" w:cs=""/>
                <w:i/>
                <w:iCs/>
                <w:kern w:val="0"/>
                <w:sz w:val="22"/>
                <w:szCs w:val="22"/>
                <w:lang w:val="pl-PL" w:eastAsia="en-US" w:bidi="ar-SA"/>
              </w:rPr>
              <w:t>temat słowotwórczy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, </w:t>
            </w:r>
            <w:r>
              <w:rPr>
                <w:rFonts w:eastAsia="Calibri" w:cs=""/>
                <w:i/>
                <w:iCs/>
                <w:kern w:val="0"/>
                <w:sz w:val="22"/>
                <w:szCs w:val="22"/>
                <w:lang w:val="pl-PL" w:eastAsia="en-US" w:bidi="ar-SA"/>
              </w:rPr>
              <w:t>definicja słowotwórcza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, </w:t>
            </w:r>
            <w:r>
              <w:rPr>
                <w:rFonts w:eastAsia="Calibri" w:cs=""/>
                <w:i/>
                <w:iCs/>
                <w:kern w:val="0"/>
                <w:sz w:val="22"/>
                <w:szCs w:val="22"/>
                <w:lang w:val="pl-PL" w:eastAsia="en-US" w:bidi="ar-SA"/>
              </w:rPr>
              <w:t>formant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,</w:t>
            </w:r>
            <w:r>
              <w:rPr>
                <w:rFonts w:eastAsia="Calibri" w:cs=""/>
                <w:i/>
                <w:iCs/>
                <w:kern w:val="0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a także </w:t>
            </w:r>
            <w:r>
              <w:rPr>
                <w:rFonts w:eastAsia="Calibri" w:cs=""/>
                <w:i/>
                <w:iCs/>
                <w:kern w:val="0"/>
                <w:sz w:val="22"/>
                <w:szCs w:val="22"/>
                <w:lang w:val="pl-PL" w:eastAsia="en-US" w:bidi="ar-SA"/>
              </w:rPr>
              <w:t>rodzina wyrazów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,</w:t>
            </w:r>
            <w:r>
              <w:rPr>
                <w:rFonts w:eastAsia="Calibri" w:cs=""/>
                <w:i/>
                <w:iCs/>
                <w:kern w:val="0"/>
                <w:sz w:val="22"/>
                <w:szCs w:val="22"/>
                <w:lang w:val="pl-PL" w:eastAsia="en-US" w:bidi="ar-SA"/>
              </w:rPr>
              <w:t xml:space="preserve"> wyraz pokrewny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, </w:t>
            </w:r>
            <w:r>
              <w:rPr>
                <w:rFonts w:eastAsia="Calibri" w:cs=""/>
                <w:i/>
                <w:iCs/>
                <w:kern w:val="0"/>
                <w:sz w:val="22"/>
                <w:szCs w:val="22"/>
                <w:lang w:val="pl-PL" w:eastAsia="en-US" w:bidi="ar-SA"/>
              </w:rPr>
              <w:t>rdzeń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, </w:t>
            </w:r>
            <w:r>
              <w:rPr>
                <w:rFonts w:eastAsia="Calibri" w:cs=""/>
                <w:i/>
                <w:iCs/>
                <w:kern w:val="0"/>
                <w:sz w:val="22"/>
                <w:szCs w:val="22"/>
                <w:lang w:val="pl-PL" w:eastAsia="en-US" w:bidi="ar-SA"/>
              </w:rPr>
              <w:t>rdzenie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eastAsia="Calibri" w:cs=""/>
                <w:i/>
                <w:iCs/>
                <w:kern w:val="0"/>
                <w:sz w:val="22"/>
                <w:szCs w:val="22"/>
                <w:lang w:val="pl-PL" w:eastAsia="en-US" w:bidi="ar-SA"/>
              </w:rPr>
              <w:t>oboczne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6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rozpoznaje wyraz podstawowy i wyrazy pochodne,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6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wie, jakie znaczenia są nadawane wyrazom przez formanty,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6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wie, czym są wyrazy złożone i zna podstawowe zasady ich pisowni.</w:t>
            </w:r>
          </w:p>
        </w:tc>
        <w:tc>
          <w:tcPr>
            <w:tcW w:w="3083" w:type="dxa"/>
            <w:tcBorders>
              <w:top w:val="single" w:sz="2" w:space="0" w:color="0070C0"/>
              <w:left w:val="single" w:sz="6" w:space="0" w:color="4BACC6"/>
              <w:bottom w:val="single" w:sz="4" w:space="0" w:color="4BACC6"/>
              <w:right w:val="single" w:sz="6" w:space="0" w:color="4BACC6"/>
            </w:tcBorders>
          </w:tcPr>
          <w:p>
            <w:pPr>
              <w:pStyle w:val="Normal"/>
              <w:widowControl/>
              <w:spacing w:lineRule="auto" w:line="240" w:before="60" w:after="40"/>
              <w:jc w:val="left"/>
              <w:rPr>
                <w:u w:val="single"/>
              </w:rPr>
            </w:pPr>
            <w:r>
              <w:rPr>
                <w:rFonts w:eastAsia="Calibri" w:cs=""/>
                <w:kern w:val="0"/>
                <w:sz w:val="22"/>
                <w:szCs w:val="22"/>
                <w:u w:val="single"/>
                <w:lang w:val="pl-PL" w:eastAsia="en-US" w:bidi="ar-SA"/>
              </w:rPr>
              <w:t>spełnia wymagania na ocenę dopuszczającą, a ponadto: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wie, czym zajmuje się słowotwórstwo,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odróżnia wyraz podstawowy od  wyrazu pochodnego,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spacing w:val="-2"/>
              </w:rPr>
            </w:pPr>
            <w:r>
              <w:rPr>
                <w:rFonts w:eastAsia="Calibri" w:cs=""/>
                <w:spacing w:val="-2"/>
                <w:kern w:val="0"/>
                <w:sz w:val="22"/>
                <w:szCs w:val="22"/>
                <w:lang w:val="pl-PL" w:eastAsia="en-US" w:bidi="ar-SA"/>
              </w:rPr>
              <w:t>próbuje przeprowadzać analizę słowotwórczą wyrazu,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rozpoznaje znaczenia nadawane wyrazom przez formanty,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rozpoznaje wyrazy pokrewne,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rozpoznaje wyrazy złożone,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zna zasady tworzenia i pisowni wyrazów złożonych.</w:t>
            </w:r>
          </w:p>
        </w:tc>
        <w:tc>
          <w:tcPr>
            <w:tcW w:w="2975" w:type="dxa"/>
            <w:tcBorders>
              <w:top w:val="single" w:sz="2" w:space="0" w:color="0070C0"/>
              <w:left w:val="single" w:sz="6" w:space="0" w:color="4BACC6"/>
              <w:bottom w:val="single" w:sz="4" w:space="0" w:color="4BACC6"/>
              <w:right w:val="single" w:sz="6" w:space="0" w:color="4BACC6"/>
            </w:tcBorders>
          </w:tcPr>
          <w:p>
            <w:pPr>
              <w:pStyle w:val="Normal"/>
              <w:widowControl/>
              <w:spacing w:lineRule="auto" w:line="240" w:before="60" w:after="40"/>
              <w:jc w:val="left"/>
              <w:rPr>
                <w:u w:val="single"/>
              </w:rPr>
            </w:pPr>
            <w:r>
              <w:rPr>
                <w:rFonts w:eastAsia="Calibri" w:cs=""/>
                <w:kern w:val="0"/>
                <w:sz w:val="22"/>
                <w:szCs w:val="22"/>
                <w:u w:val="single"/>
                <w:lang w:val="pl-PL" w:eastAsia="en-US" w:bidi="ar-SA"/>
              </w:rPr>
              <w:t>spełnia wymagania na ocenę dostateczną, a ponadto: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wyjaśnia, czym są wyrazy podstawowe i pochodne,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spacing w:val="-2"/>
                <w:kern w:val="0"/>
                <w:sz w:val="22"/>
                <w:szCs w:val="22"/>
                <w:lang w:val="pl-PL" w:eastAsia="en-US" w:bidi="ar-SA"/>
              </w:rPr>
              <w:t>przeprowadza analizę słowotwórczą wyrazu,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wyjaśnia funkcję formantów w nadawaniu znaczenia wyrazom pochodnym,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podaje przykłady kategorii znaczeniowych wyrazów,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rozpoznaje rodzinę wyrazów, wskazuje rdzeń i oboczności,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omawia zasady tworzenia wyrazów złożonych i objaśnia ich pisownię.</w:t>
            </w:r>
          </w:p>
        </w:tc>
        <w:tc>
          <w:tcPr>
            <w:tcW w:w="2879" w:type="dxa"/>
            <w:tcBorders>
              <w:top w:val="single" w:sz="2" w:space="0" w:color="0070C0"/>
              <w:left w:val="single" w:sz="6" w:space="0" w:color="4BACC6"/>
              <w:bottom w:val="single" w:sz="4" w:space="0" w:color="4BACC6"/>
              <w:right w:val="single" w:sz="6" w:space="0" w:color="4BACC6"/>
            </w:tcBorders>
          </w:tcPr>
          <w:p>
            <w:pPr>
              <w:pStyle w:val="Normal"/>
              <w:widowControl/>
              <w:spacing w:lineRule="auto" w:line="240" w:before="60" w:after="40"/>
              <w:jc w:val="left"/>
              <w:rPr>
                <w:u w:val="single"/>
              </w:rPr>
            </w:pPr>
            <w:r>
              <w:rPr>
                <w:rFonts w:eastAsia="Calibri" w:cs=""/>
                <w:kern w:val="0"/>
                <w:sz w:val="22"/>
                <w:szCs w:val="22"/>
                <w:u w:val="single"/>
                <w:lang w:val="pl-PL" w:eastAsia="en-US" w:bidi="ar-SA"/>
              </w:rPr>
              <w:t>spełnia wymagania na ocenę dobrą, a ponadto: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20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spacing w:val="-2"/>
                <w:kern w:val="0"/>
                <w:sz w:val="22"/>
                <w:szCs w:val="22"/>
                <w:lang w:val="pl-PL" w:eastAsia="en-US" w:bidi="ar-SA"/>
              </w:rPr>
              <w:t>poprawnie przeprowadza analizy słowotwórcze,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rozpoznaje  rodzaj formantu w wyrazie,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omawia znaczeniotwórczą funkcję formantów,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podaje przykłady wyrazów należących do jednej rodziny,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przedstawia na wykresie zależności między wyrazami pokrewnymi,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tworzy wyrazy złożone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6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stosuje w praktyce zasady pisowni wyrazów złożonych.</w:t>
            </w:r>
          </w:p>
        </w:tc>
        <w:tc>
          <w:tcPr>
            <w:tcW w:w="2871" w:type="dxa"/>
            <w:tcBorders>
              <w:top w:val="single" w:sz="2" w:space="0" w:color="0070C0"/>
              <w:left w:val="single" w:sz="6" w:space="0" w:color="4BACC6"/>
              <w:bottom w:val="single" w:sz="4" w:space="0" w:color="4BACC6"/>
              <w:right w:val="single" w:sz="4" w:space="0" w:color="4BACC6"/>
            </w:tcBorders>
          </w:tcPr>
          <w:p>
            <w:pPr>
              <w:pStyle w:val="Normal"/>
              <w:widowControl/>
              <w:spacing w:lineRule="auto" w:line="240" w:before="60" w:after="40"/>
              <w:jc w:val="left"/>
              <w:rPr>
                <w:u w:val="single"/>
              </w:rPr>
            </w:pPr>
            <w:r>
              <w:rPr>
                <w:rFonts w:eastAsia="Calibri" w:cs=""/>
                <w:kern w:val="0"/>
                <w:sz w:val="22"/>
                <w:szCs w:val="22"/>
                <w:u w:val="single"/>
                <w:lang w:val="pl-PL" w:eastAsia="en-US" w:bidi="ar-SA"/>
              </w:rPr>
              <w:t>spełnia wymagania na ocenę bardzo dobrą, a ponadto: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świadomie stosuje w swoich wypowiedziach: wyrazy podstawowe i pochodne, wyrazy należące do różnych kategorii znaczeniowych, wyrazy pokrewne i wyrazy złożone,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bezbłędnie analizuje budowę słowotwórczą wyrazu.</w:t>
            </w:r>
          </w:p>
        </w:tc>
      </w:tr>
    </w:tbl>
    <w:p>
      <w:pPr>
        <w:pStyle w:val="Normal"/>
        <w:spacing w:before="120" w:after="240"/>
        <w:rPr>
          <w:b/>
          <w:bCs/>
          <w:color w:val="FFC000"/>
          <w:sz w:val="32"/>
          <w:szCs w:val="32"/>
        </w:rPr>
      </w:pPr>
      <w:r>
        <w:br w:type="page"/>
      </w:r>
      <w:r>
        <w:rPr>
          <w:b/>
          <w:bCs/>
          <w:color w:val="FFC000"/>
          <w:sz w:val="32"/>
          <w:szCs w:val="32"/>
        </w:rPr>
        <w:t xml:space="preserve">II.1. Gramatyka języka polskiego – fleksja </w:t>
      </w:r>
    </w:p>
    <w:tbl>
      <w:tblPr>
        <w:tblStyle w:val="Tabela-Siatka"/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62"/>
        <w:gridCol w:w="3083"/>
        <w:gridCol w:w="2975"/>
        <w:gridCol w:w="2879"/>
        <w:gridCol w:w="2871"/>
      </w:tblGrid>
      <w:tr>
        <w:trPr>
          <w:tblHeader w:val="true"/>
          <w:trHeight w:val="205" w:hRule="atLeast"/>
          <w:cantSplit w:val="true"/>
        </w:trPr>
        <w:tc>
          <w:tcPr>
            <w:tcW w:w="14570" w:type="dxa"/>
            <w:gridSpan w:val="5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60" w:after="0"/>
              <w:jc w:val="center"/>
              <w:rPr>
                <w:rFonts w:cs="Calibri" w:cstheme="minorHAnsi"/>
                <w:b/>
                <w:bCs/>
                <w:color w:themeColor="background1" w:val="FFFFFF"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4"/>
                <w:szCs w:val="24"/>
                <w:lang w:val="pl-PL" w:eastAsia="en-US" w:bidi="ar-SA"/>
              </w:rPr>
              <w:t xml:space="preserve">Treści nauczania wskazane w </w:t>
            </w:r>
            <w:r>
              <w:rPr>
                <w:rFonts w:eastAsia="Calibri" w:cs="Calibri" w:cstheme="minorHAnsi"/>
                <w:b/>
                <w:bCs/>
                <w:i/>
                <w:iCs/>
                <w:color w:themeColor="background1" w:val="FFFFFF"/>
                <w:kern w:val="0"/>
                <w:sz w:val="24"/>
                <w:szCs w:val="24"/>
                <w:lang w:val="pl-PL" w:eastAsia="en-US" w:bidi="ar-SA"/>
              </w:rPr>
              <w:t xml:space="preserve">Podstawie programowej dla II etapu edukacyjnego </w:t>
            </w: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4"/>
                <w:szCs w:val="24"/>
                <w:lang w:val="pl-PL" w:eastAsia="en-US" w:bidi="ar-SA"/>
              </w:rPr>
              <w:t>(klasy 4–8)</w:t>
            </w:r>
          </w:p>
          <w:p>
            <w:pPr>
              <w:pStyle w:val="Normal"/>
              <w:widowControl/>
              <w:spacing w:lineRule="auto" w:line="240" w:before="0" w:after="60"/>
              <w:jc w:val="center"/>
              <w:rPr>
                <w:rFonts w:cs="Calibri" w:cstheme="minorHAnsi"/>
                <w:b/>
                <w:bC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4"/>
                <w:szCs w:val="24"/>
                <w:lang w:val="pl-PL" w:eastAsia="en-US" w:bidi="ar-SA"/>
              </w:rPr>
              <w:t xml:space="preserve">i zawarte w podręczniku </w:t>
            </w:r>
            <w:r>
              <w:rPr>
                <w:rFonts w:eastAsia="Calibri" w:cs="Calibri" w:cstheme="minorHAnsi"/>
                <w:b/>
                <w:bCs/>
                <w:i/>
                <w:iCs/>
                <w:color w:themeColor="background1" w:val="FFFFFF"/>
                <w:kern w:val="0"/>
                <w:sz w:val="24"/>
                <w:szCs w:val="24"/>
                <w:lang w:val="pl-PL" w:eastAsia="en-US" w:bidi="ar-SA"/>
              </w:rPr>
              <w:t>Zamieńmy słowo</w:t>
            </w: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4"/>
                <w:szCs w:val="24"/>
                <w:lang w:val="pl-PL" w:eastAsia="en-US" w:bidi="ar-SA"/>
              </w:rPr>
              <w:t xml:space="preserve"> dla klasy 8</w:t>
            </w:r>
          </w:p>
        </w:tc>
      </w:tr>
      <w:tr>
        <w:trPr>
          <w:tblHeader w:val="true"/>
          <w:trHeight w:val="340" w:hRule="atLeast"/>
          <w:cantSplit w:val="true"/>
        </w:trPr>
        <w:tc>
          <w:tcPr>
            <w:tcW w:w="2762" w:type="dxa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2"/>
                <w:szCs w:val="22"/>
                <w:lang w:val="pl-PL" w:eastAsia="en-US" w:bidi="ar-SA"/>
              </w:rPr>
              <w:t>ocena dopuszczająca</w:t>
            </w:r>
          </w:p>
        </w:tc>
        <w:tc>
          <w:tcPr>
            <w:tcW w:w="3083" w:type="dxa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2"/>
                <w:szCs w:val="22"/>
                <w:lang w:val="pl-PL" w:eastAsia="en-US" w:bidi="ar-SA"/>
              </w:rPr>
              <w:t>ocena dostateczna</w:t>
            </w:r>
          </w:p>
        </w:tc>
        <w:tc>
          <w:tcPr>
            <w:tcW w:w="2975" w:type="dxa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2"/>
                <w:szCs w:val="22"/>
                <w:lang w:val="pl-PL" w:eastAsia="en-US" w:bidi="ar-SA"/>
              </w:rPr>
              <w:t>ocena dobra</w:t>
            </w:r>
          </w:p>
        </w:tc>
        <w:tc>
          <w:tcPr>
            <w:tcW w:w="2879" w:type="dxa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2"/>
                <w:szCs w:val="22"/>
                <w:lang w:val="pl-PL" w:eastAsia="en-US" w:bidi="ar-SA"/>
              </w:rPr>
              <w:t>ocena bardzo dobra</w:t>
            </w:r>
          </w:p>
        </w:tc>
        <w:tc>
          <w:tcPr>
            <w:tcW w:w="2871" w:type="dxa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2"/>
                <w:szCs w:val="22"/>
                <w:lang w:val="pl-PL" w:eastAsia="en-US" w:bidi="ar-SA"/>
              </w:rPr>
              <w:t>ocena celująca</w:t>
            </w:r>
          </w:p>
        </w:tc>
      </w:tr>
      <w:tr>
        <w:trPr>
          <w:tblHeader w:val="true"/>
          <w:trHeight w:val="340" w:hRule="atLeast"/>
          <w:cantSplit w:val="true"/>
        </w:trPr>
        <w:tc>
          <w:tcPr>
            <w:tcW w:w="14570" w:type="dxa"/>
            <w:gridSpan w:val="5"/>
            <w:tcBorders>
              <w:top w:val="single" w:sz="4" w:space="0" w:color="FFFFFF"/>
              <w:left w:val="single" w:sz="6" w:space="0" w:color="FFFFFF"/>
              <w:bottom w:val="single" w:sz="2" w:space="0" w:color="0070C0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2"/>
                <w:szCs w:val="22"/>
                <w:lang w:val="pl-PL" w:eastAsia="en-US" w:bidi="ar-SA"/>
              </w:rPr>
              <w:t>Uczeń</w:t>
            </w:r>
          </w:p>
        </w:tc>
      </w:tr>
      <w:tr>
        <w:trPr>
          <w:tblHeader w:val="true"/>
          <w:trHeight w:val="397" w:hRule="atLeast"/>
          <w:cantSplit w:val="true"/>
        </w:trPr>
        <w:tc>
          <w:tcPr>
            <w:tcW w:w="14570" w:type="dxa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color="auto" w:fill="B6DDE8" w:themeFill="accent5" w:themeFillTint="66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cap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aps/>
                <w:kern w:val="0"/>
                <w:sz w:val="22"/>
                <w:szCs w:val="22"/>
                <w:lang w:val="pl-PL" w:eastAsia="en-US" w:bidi="ar-SA"/>
              </w:rPr>
              <w:t>FLEKSJA</w:t>
            </w:r>
          </w:p>
        </w:tc>
      </w:tr>
      <w:tr>
        <w:trPr>
          <w:trHeight w:val="2356" w:hRule="atLeast"/>
        </w:trPr>
        <w:tc>
          <w:tcPr>
            <w:tcW w:w="2762" w:type="dxa"/>
            <w:tcBorders>
              <w:top w:val="single" w:sz="2" w:space="0" w:color="0070C0"/>
              <w:left w:val="single" w:sz="4" w:space="0" w:color="4BACC6"/>
              <w:bottom w:val="single" w:sz="4" w:space="0" w:color="4BACC6"/>
              <w:right w:val="single" w:sz="6" w:space="0" w:color="4BACC6"/>
            </w:tcBorders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6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odróżnia części mowy odmienne od nieodmiennych,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6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wie, że imiesłowy przymiotnikowy i przysłówkowy są nieosobowymi formami czasownika,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6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zna zasady tworzenia i odmiany imiesłowów,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6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zna podstawowe zasady pisowni </w:t>
            </w:r>
            <w:r>
              <w:rPr>
                <w:rFonts w:eastAsia="Calibri" w:cs=""/>
                <w:i/>
                <w:iCs/>
                <w:kern w:val="0"/>
                <w:sz w:val="22"/>
                <w:szCs w:val="22"/>
                <w:lang w:val="pl-PL" w:eastAsia="en-US" w:bidi="ar-SA"/>
              </w:rPr>
              <w:t>nie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 z różnymi częściami mowy oraz wyjątki od tych zasad,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zna wybrane zasady zapisu nazw miejscowych i nazw mieszkańców,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zna zasady odmiany imion i nazwisk w języku polskim.</w:t>
            </w:r>
          </w:p>
        </w:tc>
        <w:tc>
          <w:tcPr>
            <w:tcW w:w="3083" w:type="dxa"/>
            <w:tcBorders>
              <w:top w:val="single" w:sz="2" w:space="0" w:color="0070C0"/>
              <w:left w:val="single" w:sz="6" w:space="0" w:color="4BACC6"/>
              <w:bottom w:val="single" w:sz="4" w:space="0" w:color="4BACC6"/>
              <w:right w:val="single" w:sz="6" w:space="0" w:color="4BACC6"/>
            </w:tcBorders>
          </w:tcPr>
          <w:p>
            <w:pPr>
              <w:pStyle w:val="Normal"/>
              <w:widowControl/>
              <w:spacing w:lineRule="auto" w:line="240" w:before="60" w:after="40"/>
              <w:jc w:val="left"/>
              <w:rPr>
                <w:u w:val="single"/>
              </w:rPr>
            </w:pPr>
            <w:r>
              <w:rPr>
                <w:rFonts w:eastAsia="Calibri" w:cs=""/>
                <w:kern w:val="0"/>
                <w:sz w:val="22"/>
                <w:szCs w:val="22"/>
                <w:u w:val="single"/>
                <w:lang w:val="pl-PL" w:eastAsia="en-US" w:bidi="ar-SA"/>
              </w:rPr>
              <w:t>spełnia wymagania na ocenę dopuszczającą, a ponadto: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rozpoznaje nieosobowe formy czasownika: formy zakończone na -</w:t>
            </w:r>
            <w:r>
              <w:rPr>
                <w:rFonts w:eastAsia="Calibri" w:cs=""/>
                <w:i/>
                <w:iCs/>
                <w:kern w:val="0"/>
                <w:sz w:val="22"/>
                <w:szCs w:val="22"/>
                <w:lang w:val="pl-PL" w:eastAsia="en-US" w:bidi="ar-SA"/>
              </w:rPr>
              <w:t>no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 , -</w:t>
            </w:r>
            <w:r>
              <w:rPr>
                <w:rFonts w:eastAsia="Calibri" w:cs=""/>
                <w:i/>
                <w:iCs/>
                <w:kern w:val="0"/>
                <w:sz w:val="22"/>
                <w:szCs w:val="22"/>
                <w:lang w:val="pl-PL" w:eastAsia="en-US" w:bidi="ar-SA"/>
              </w:rPr>
              <w:t>to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, bezokoliczniki, imiesłowy,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podaje końcówki imiesłowów,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wyjaśnia zasady tworzenia i odmiany imiesłowów,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wie, jak odróżnić imiesłów od przymiotnika,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tworzy imiesłowy z partykułą </w:t>
            </w:r>
            <w:r>
              <w:rPr>
                <w:rFonts w:eastAsia="Calibri" w:cs=""/>
                <w:i/>
                <w:iCs/>
                <w:kern w:val="0"/>
                <w:sz w:val="22"/>
                <w:szCs w:val="22"/>
                <w:lang w:val="pl-PL" w:eastAsia="en-US" w:bidi="ar-SA"/>
              </w:rPr>
              <w:t>nie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zna zasady pisowni </w:t>
            </w:r>
            <w:r>
              <w:rPr>
                <w:rFonts w:eastAsia="Calibri" w:cs=""/>
                <w:i/>
                <w:iCs/>
                <w:kern w:val="0"/>
                <w:sz w:val="22"/>
                <w:szCs w:val="22"/>
                <w:lang w:val="pl-PL" w:eastAsia="en-US" w:bidi="ar-SA"/>
              </w:rPr>
              <w:t>nie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 z różnymi częściami mowy,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wymienia zasady odmiany i zapisu nazw miejscowych, nazw mieszkańców oraz imion i nazwisk.</w:t>
            </w:r>
          </w:p>
        </w:tc>
        <w:tc>
          <w:tcPr>
            <w:tcW w:w="2975" w:type="dxa"/>
            <w:tcBorders>
              <w:top w:val="single" w:sz="2" w:space="0" w:color="0070C0"/>
              <w:left w:val="single" w:sz="6" w:space="0" w:color="4BACC6"/>
              <w:bottom w:val="single" w:sz="4" w:space="0" w:color="4BACC6"/>
              <w:right w:val="single" w:sz="6" w:space="0" w:color="4BACC6"/>
            </w:tcBorders>
          </w:tcPr>
          <w:p>
            <w:pPr>
              <w:pStyle w:val="Normal"/>
              <w:widowControl/>
              <w:spacing w:lineRule="auto" w:line="240" w:before="60" w:after="40"/>
              <w:jc w:val="left"/>
              <w:rPr>
                <w:u w:val="single"/>
              </w:rPr>
            </w:pPr>
            <w:r>
              <w:rPr>
                <w:rFonts w:eastAsia="Calibri" w:cs=""/>
                <w:kern w:val="0"/>
                <w:sz w:val="22"/>
                <w:szCs w:val="22"/>
                <w:u w:val="single"/>
                <w:lang w:val="pl-PL" w:eastAsia="en-US" w:bidi="ar-SA"/>
              </w:rPr>
              <w:t>spełnia wymagania na ocenę dostateczną, a ponadto: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rozpoznaje, z jaką częścią mowy ma do czynienia,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spacing w:val="-4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określa formę fleksyjną wyrazu,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wskazuje imiesłów w zdaniu i określa jego rodzaj,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wymienia wyjątki od zasad pisowni partykuły </w:t>
            </w:r>
            <w:r>
              <w:rPr>
                <w:rFonts w:eastAsia="Calibri" w:cs=""/>
                <w:i/>
                <w:iCs/>
                <w:kern w:val="0"/>
                <w:sz w:val="22"/>
                <w:szCs w:val="22"/>
                <w:lang w:val="pl-PL" w:eastAsia="en-US" w:bidi="ar-SA"/>
              </w:rPr>
              <w:t>nie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rozpoznaje nazwy miejscowe,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stosuje zasady odmiany i zapisu nazw miejscowych i nazw mieszkańców,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poprawnie odmienia imiona i nazwiska..</w:t>
            </w:r>
          </w:p>
        </w:tc>
        <w:tc>
          <w:tcPr>
            <w:tcW w:w="2879" w:type="dxa"/>
            <w:tcBorders>
              <w:top w:val="single" w:sz="2" w:space="0" w:color="0070C0"/>
              <w:left w:val="single" w:sz="6" w:space="0" w:color="4BACC6"/>
              <w:bottom w:val="single" w:sz="4" w:space="0" w:color="4BACC6"/>
              <w:right w:val="single" w:sz="6" w:space="0" w:color="4BACC6"/>
            </w:tcBorders>
          </w:tcPr>
          <w:p>
            <w:pPr>
              <w:pStyle w:val="Normal"/>
              <w:widowControl/>
              <w:spacing w:lineRule="auto" w:line="240" w:before="60" w:after="40"/>
              <w:jc w:val="left"/>
              <w:rPr>
                <w:u w:val="single"/>
              </w:rPr>
            </w:pPr>
            <w:r>
              <w:rPr>
                <w:rFonts w:eastAsia="Calibri" w:cs=""/>
                <w:kern w:val="0"/>
                <w:sz w:val="22"/>
                <w:szCs w:val="22"/>
                <w:u w:val="single"/>
                <w:lang w:val="pl-PL" w:eastAsia="en-US" w:bidi="ar-SA"/>
              </w:rPr>
              <w:t>spełnia wymagania na ocenę dobrą, a ponadto: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tworzy wskazane formy fleksyjne wyrazów,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przekształca wskazane czasowniki na konstrukcje z imiesłowami,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bezbłędnie zapisuje </w:t>
            </w:r>
            <w:r>
              <w:rPr>
                <w:rFonts w:eastAsia="Calibri" w:cs=""/>
                <w:i/>
                <w:iCs/>
                <w:kern w:val="0"/>
                <w:sz w:val="22"/>
                <w:szCs w:val="22"/>
                <w:lang w:val="pl-PL" w:eastAsia="en-US" w:bidi="ar-SA"/>
              </w:rPr>
              <w:t>nie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 z różnymi częściami mowy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uwzględnienia wyjątki od zasad pisowni partykuły </w:t>
            </w:r>
            <w:r>
              <w:rPr>
                <w:rFonts w:eastAsia="Calibri" w:cs=""/>
                <w:i/>
                <w:iCs/>
                <w:kern w:val="0"/>
                <w:sz w:val="22"/>
                <w:szCs w:val="22"/>
                <w:lang w:val="pl-PL" w:eastAsia="en-US" w:bidi="ar-SA"/>
              </w:rPr>
              <w:t>nie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podaje własne przykłady nazw miejscowych,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bezbłędnie odmienia i zapisuje nazwy miejscowe, nazwy mieszkańców oraz imiona i nazwiska,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wyjaśnia pochodzenie imion i nazwisk.</w:t>
            </w:r>
          </w:p>
        </w:tc>
        <w:tc>
          <w:tcPr>
            <w:tcW w:w="2871" w:type="dxa"/>
            <w:tcBorders>
              <w:top w:val="single" w:sz="2" w:space="0" w:color="0070C0"/>
              <w:left w:val="single" w:sz="6" w:space="0" w:color="4BACC6"/>
              <w:bottom w:val="single" w:sz="4" w:space="0" w:color="4BACC6"/>
              <w:right w:val="single" w:sz="4" w:space="0" w:color="4BACC6"/>
            </w:tcBorders>
          </w:tcPr>
          <w:p>
            <w:pPr>
              <w:pStyle w:val="Normal"/>
              <w:widowControl/>
              <w:spacing w:lineRule="auto" w:line="240" w:before="60" w:after="40"/>
              <w:jc w:val="left"/>
              <w:rPr>
                <w:u w:val="single"/>
              </w:rPr>
            </w:pPr>
            <w:r>
              <w:rPr>
                <w:rFonts w:eastAsia="Calibri" w:cs=""/>
                <w:kern w:val="0"/>
                <w:sz w:val="22"/>
                <w:szCs w:val="22"/>
                <w:u w:val="single"/>
                <w:lang w:val="pl-PL" w:eastAsia="en-US" w:bidi="ar-SA"/>
              </w:rPr>
              <w:t>spełnia wymagania na ocenę bardzo dobrą, a ponadto: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poprawnie używa imiesłowów,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wskazuje i poprawia błędy fleksyjne,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redaguje tekst z użyciem partykuły </w:t>
            </w:r>
            <w:r>
              <w:rPr>
                <w:rFonts w:eastAsia="Calibri" w:cs=""/>
                <w:i/>
                <w:iCs/>
                <w:kern w:val="0"/>
                <w:sz w:val="22"/>
                <w:szCs w:val="22"/>
                <w:lang w:val="pl-PL" w:eastAsia="en-US" w:bidi="ar-SA"/>
              </w:rPr>
              <w:t xml:space="preserve">nie 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z różnymi częściami mowy,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poprawia błędy swoje i innych w zapisie </w:t>
            </w:r>
            <w:r>
              <w:rPr>
                <w:rFonts w:eastAsia="Calibri" w:cs=""/>
                <w:i/>
                <w:iCs/>
                <w:kern w:val="0"/>
                <w:sz w:val="22"/>
                <w:szCs w:val="22"/>
                <w:lang w:val="pl-PL" w:eastAsia="en-US" w:bidi="ar-SA"/>
              </w:rPr>
              <w:t>nie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 z różnymi częściami mowy, w tym z wyjątkami,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koryguje błędy swoje i innych w odmianie i zapisie nazw miejscowych, nazw mieszkańców oraz imion i nazwisk.</w:t>
            </w:r>
          </w:p>
        </w:tc>
      </w:tr>
    </w:tbl>
    <w:p>
      <w:pPr>
        <w:pStyle w:val="Normal"/>
        <w:spacing w:before="120" w:after="240"/>
        <w:rPr>
          <w:b/>
          <w:bCs/>
          <w:color w:val="FFC000"/>
          <w:sz w:val="32"/>
          <w:szCs w:val="32"/>
        </w:rPr>
      </w:pPr>
      <w:r>
        <w:rPr>
          <w:b/>
          <w:bCs/>
          <w:color w:val="FFC000"/>
          <w:sz w:val="32"/>
          <w:szCs w:val="32"/>
        </w:rPr>
        <w:t xml:space="preserve">II.1. Gramatyka języka polskiego – składnia </w:t>
      </w:r>
    </w:p>
    <w:tbl>
      <w:tblPr>
        <w:tblStyle w:val="Tabela-Siatka"/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62"/>
        <w:gridCol w:w="3083"/>
        <w:gridCol w:w="2975"/>
        <w:gridCol w:w="2879"/>
        <w:gridCol w:w="2871"/>
      </w:tblGrid>
      <w:tr>
        <w:trPr>
          <w:tblHeader w:val="true"/>
          <w:trHeight w:val="205" w:hRule="atLeast"/>
          <w:cantSplit w:val="true"/>
        </w:trPr>
        <w:tc>
          <w:tcPr>
            <w:tcW w:w="14570" w:type="dxa"/>
            <w:gridSpan w:val="5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60" w:after="0"/>
              <w:jc w:val="center"/>
              <w:rPr>
                <w:rFonts w:cs="Calibri" w:cstheme="minorHAnsi"/>
                <w:b/>
                <w:bCs/>
                <w:color w:themeColor="background1" w:val="FFFFFF"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4"/>
                <w:szCs w:val="24"/>
                <w:lang w:val="pl-PL" w:eastAsia="en-US" w:bidi="ar-SA"/>
              </w:rPr>
              <w:t xml:space="preserve">Treści nauczania wskazane w </w:t>
            </w:r>
            <w:r>
              <w:rPr>
                <w:rFonts w:eastAsia="Calibri" w:cs="Calibri" w:cstheme="minorHAnsi"/>
                <w:b/>
                <w:bCs/>
                <w:i/>
                <w:iCs/>
                <w:color w:themeColor="background1" w:val="FFFFFF"/>
                <w:kern w:val="0"/>
                <w:sz w:val="24"/>
                <w:szCs w:val="24"/>
                <w:lang w:val="pl-PL" w:eastAsia="en-US" w:bidi="ar-SA"/>
              </w:rPr>
              <w:t xml:space="preserve">Podstawie programowej dla II etapu edukacyjnego </w:t>
            </w: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4"/>
                <w:szCs w:val="24"/>
                <w:lang w:val="pl-PL" w:eastAsia="en-US" w:bidi="ar-SA"/>
              </w:rPr>
              <w:t>(klasy 4–8)</w:t>
            </w:r>
          </w:p>
          <w:p>
            <w:pPr>
              <w:pStyle w:val="Normal"/>
              <w:widowControl/>
              <w:spacing w:lineRule="auto" w:line="240" w:before="0" w:after="60"/>
              <w:jc w:val="center"/>
              <w:rPr>
                <w:rFonts w:cs="Calibri" w:cstheme="minorHAnsi"/>
                <w:b/>
                <w:bC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4"/>
                <w:szCs w:val="24"/>
                <w:lang w:val="pl-PL" w:eastAsia="en-US" w:bidi="ar-SA"/>
              </w:rPr>
              <w:t xml:space="preserve">i zawarte w podręczniku </w:t>
            </w:r>
            <w:r>
              <w:rPr>
                <w:rFonts w:eastAsia="Calibri" w:cs="Calibri" w:cstheme="minorHAnsi"/>
                <w:b/>
                <w:bCs/>
                <w:i/>
                <w:iCs/>
                <w:color w:themeColor="background1" w:val="FFFFFF"/>
                <w:kern w:val="0"/>
                <w:sz w:val="24"/>
                <w:szCs w:val="24"/>
                <w:lang w:val="pl-PL" w:eastAsia="en-US" w:bidi="ar-SA"/>
              </w:rPr>
              <w:t>Zamieńmy słowo</w:t>
            </w: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4"/>
                <w:szCs w:val="24"/>
                <w:lang w:val="pl-PL" w:eastAsia="en-US" w:bidi="ar-SA"/>
              </w:rPr>
              <w:t xml:space="preserve"> dla klasy 8</w:t>
            </w:r>
          </w:p>
        </w:tc>
      </w:tr>
      <w:tr>
        <w:trPr>
          <w:tblHeader w:val="true"/>
          <w:trHeight w:val="340" w:hRule="atLeast"/>
          <w:cantSplit w:val="true"/>
        </w:trPr>
        <w:tc>
          <w:tcPr>
            <w:tcW w:w="2762" w:type="dxa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2"/>
                <w:szCs w:val="22"/>
                <w:lang w:val="pl-PL" w:eastAsia="en-US" w:bidi="ar-SA"/>
              </w:rPr>
              <w:t>ocena dopuszczająca</w:t>
            </w:r>
          </w:p>
        </w:tc>
        <w:tc>
          <w:tcPr>
            <w:tcW w:w="3083" w:type="dxa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2"/>
                <w:szCs w:val="22"/>
                <w:lang w:val="pl-PL" w:eastAsia="en-US" w:bidi="ar-SA"/>
              </w:rPr>
              <w:t>ocena dostateczna</w:t>
            </w:r>
          </w:p>
        </w:tc>
        <w:tc>
          <w:tcPr>
            <w:tcW w:w="2975" w:type="dxa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2"/>
                <w:szCs w:val="22"/>
                <w:lang w:val="pl-PL" w:eastAsia="en-US" w:bidi="ar-SA"/>
              </w:rPr>
              <w:t>ocena dobra</w:t>
            </w:r>
          </w:p>
        </w:tc>
        <w:tc>
          <w:tcPr>
            <w:tcW w:w="2879" w:type="dxa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2"/>
                <w:szCs w:val="22"/>
                <w:lang w:val="pl-PL" w:eastAsia="en-US" w:bidi="ar-SA"/>
              </w:rPr>
              <w:t>ocena bardzo dobra</w:t>
            </w:r>
          </w:p>
        </w:tc>
        <w:tc>
          <w:tcPr>
            <w:tcW w:w="2871" w:type="dxa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2"/>
                <w:szCs w:val="22"/>
                <w:lang w:val="pl-PL" w:eastAsia="en-US" w:bidi="ar-SA"/>
              </w:rPr>
              <w:t>ocena celująca</w:t>
            </w:r>
          </w:p>
        </w:tc>
      </w:tr>
      <w:tr>
        <w:trPr>
          <w:tblHeader w:val="true"/>
          <w:trHeight w:val="340" w:hRule="atLeast"/>
          <w:cantSplit w:val="true"/>
        </w:trPr>
        <w:tc>
          <w:tcPr>
            <w:tcW w:w="14570" w:type="dxa"/>
            <w:gridSpan w:val="5"/>
            <w:tcBorders>
              <w:top w:val="single" w:sz="4" w:space="0" w:color="FFFFFF"/>
              <w:left w:val="single" w:sz="6" w:space="0" w:color="FFFFFF"/>
              <w:bottom w:val="single" w:sz="2" w:space="0" w:color="0070C0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2"/>
                <w:szCs w:val="22"/>
                <w:lang w:val="pl-PL" w:eastAsia="en-US" w:bidi="ar-SA"/>
              </w:rPr>
              <w:t>Uczeń</w:t>
            </w:r>
          </w:p>
        </w:tc>
      </w:tr>
      <w:tr>
        <w:trPr>
          <w:tblHeader w:val="true"/>
          <w:trHeight w:val="397" w:hRule="atLeast"/>
          <w:cantSplit w:val="true"/>
        </w:trPr>
        <w:tc>
          <w:tcPr>
            <w:tcW w:w="14570" w:type="dxa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color="auto" w:fill="B6DDE8" w:themeFill="accent5" w:themeFillTint="66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cap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aps/>
                <w:kern w:val="0"/>
                <w:sz w:val="22"/>
                <w:szCs w:val="22"/>
                <w:lang w:val="pl-PL" w:eastAsia="en-US" w:bidi="ar-SA"/>
              </w:rPr>
              <w:t>SKŁADNIA</w:t>
            </w:r>
          </w:p>
        </w:tc>
      </w:tr>
      <w:tr>
        <w:trPr>
          <w:trHeight w:val="720" w:hRule="atLeast"/>
        </w:trPr>
        <w:tc>
          <w:tcPr>
            <w:tcW w:w="2762" w:type="dxa"/>
            <w:tcBorders>
              <w:top w:val="single" w:sz="2" w:space="0" w:color="0070C0"/>
              <w:left w:val="single" w:sz="4" w:space="0" w:color="4BACC6"/>
              <w:bottom w:val="single" w:sz="4" w:space="0" w:color="4BACC6"/>
              <w:right w:val="single" w:sz="6" w:space="0" w:color="4BACC6"/>
            </w:tcBorders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60" w:after="0"/>
              <w:contextualSpacing/>
              <w:jc w:val="left"/>
              <w:rPr>
                <w:spacing w:val="-2"/>
              </w:rPr>
            </w:pPr>
            <w:r>
              <w:rPr>
                <w:rFonts w:eastAsia="Calibri" w:cs=""/>
                <w:spacing w:val="-2"/>
                <w:kern w:val="0"/>
                <w:sz w:val="22"/>
                <w:szCs w:val="22"/>
                <w:lang w:val="pl-PL" w:eastAsia="en-US" w:bidi="ar-SA"/>
              </w:rPr>
              <w:t>wie, że w polskiej składni istnieją równoważniki zdania, zdania pojedyncze i złożone (współrzędnie, podrzędnie i wielokrotnie) oraz wypowiedzenia z imiesłowowym równoważnikiem zdania,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6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próbuje przekształcać równoważnik w zdanie pojedyncze, a następnie w zdanie złożone oraz w wypowiedzenie z imiesłowowym równoważnikiem zdania,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6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zna zasady interpunkcji w zdaniach wielokrotnie złożonych,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6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rozumie różnicę miedzy mową zależną a niezależną.</w:t>
            </w:r>
          </w:p>
        </w:tc>
        <w:tc>
          <w:tcPr>
            <w:tcW w:w="3083" w:type="dxa"/>
            <w:tcBorders>
              <w:top w:val="single" w:sz="2" w:space="0" w:color="0070C0"/>
              <w:left w:val="single" w:sz="6" w:space="0" w:color="4BACC6"/>
              <w:bottom w:val="single" w:sz="4" w:space="0" w:color="4BACC6"/>
              <w:right w:val="single" w:sz="6" w:space="0" w:color="4BACC6"/>
            </w:tcBorders>
          </w:tcPr>
          <w:p>
            <w:pPr>
              <w:pStyle w:val="Normal"/>
              <w:widowControl/>
              <w:spacing w:lineRule="auto" w:line="240" w:before="60" w:after="40"/>
              <w:jc w:val="left"/>
              <w:rPr>
                <w:u w:val="single"/>
              </w:rPr>
            </w:pPr>
            <w:r>
              <w:rPr>
                <w:rFonts w:eastAsia="Calibri" w:cs=""/>
                <w:kern w:val="0"/>
                <w:sz w:val="22"/>
                <w:szCs w:val="22"/>
                <w:u w:val="single"/>
                <w:lang w:val="pl-PL" w:eastAsia="en-US" w:bidi="ar-SA"/>
              </w:rPr>
              <w:t>spełnia wymagania na ocenę dopuszczającą, a ponadto: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60" w:after="20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rozróżnia równoważniki zdań, zdania pojedyncze, złożone (współrzędnie, podrzędnie i wielokrotnie) oraz wypowiedzenia z imiesłowowym równoważnikiem zdania,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zna typy zdań złożonych,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tworzy wypowiedzenia wielokrotnie złożone ze zdań pojedynczych,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60" w:after="20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stosuje zasady interpunkcji w zdaniach wielokrotnie złożonych,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odróżnia mowę zależną od mowy niezależnej i umie wskazać je w tekście</w:t>
            </w:r>
          </w:p>
        </w:tc>
        <w:tc>
          <w:tcPr>
            <w:tcW w:w="2975" w:type="dxa"/>
            <w:tcBorders>
              <w:top w:val="single" w:sz="2" w:space="0" w:color="0070C0"/>
              <w:left w:val="single" w:sz="6" w:space="0" w:color="4BACC6"/>
              <w:bottom w:val="single" w:sz="4" w:space="0" w:color="4BACC6"/>
              <w:right w:val="single" w:sz="6" w:space="0" w:color="4BACC6"/>
            </w:tcBorders>
          </w:tcPr>
          <w:p>
            <w:pPr>
              <w:pStyle w:val="Normal"/>
              <w:widowControl/>
              <w:spacing w:lineRule="auto" w:line="240" w:before="60" w:after="40"/>
              <w:jc w:val="left"/>
              <w:rPr>
                <w:u w:val="single"/>
              </w:rPr>
            </w:pPr>
            <w:r>
              <w:rPr>
                <w:rFonts w:eastAsia="Calibri" w:cs=""/>
                <w:kern w:val="0"/>
                <w:sz w:val="22"/>
                <w:szCs w:val="22"/>
                <w:u w:val="single"/>
                <w:lang w:val="pl-PL" w:eastAsia="en-US" w:bidi="ar-SA"/>
              </w:rPr>
              <w:t>spełnia wymagania na ocenę dostateczną, a ponadto: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60" w:after="20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rozpoznaje w tekście równoważniki zdań, zdania pojedyncze, złożone (współrzędnie, podrzędnie i wielokrotnie) oraz wypowiedzenia z imiesłowowym równoważnikiem zdania,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20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przekształca wypowiedzenia zbudowane z różnego rodzaju zdań złożonych,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przekształca mowę zależną na niezależną i odwrotnie,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uzupełnia zdania wyliczeniami i wtrąceniami z zachowaniem zasad interpunkcji.</w:t>
            </w:r>
          </w:p>
        </w:tc>
        <w:tc>
          <w:tcPr>
            <w:tcW w:w="2879" w:type="dxa"/>
            <w:tcBorders>
              <w:top w:val="single" w:sz="2" w:space="0" w:color="0070C0"/>
              <w:left w:val="single" w:sz="6" w:space="0" w:color="4BACC6"/>
              <w:bottom w:val="single" w:sz="4" w:space="0" w:color="4BACC6"/>
              <w:right w:val="single" w:sz="6" w:space="0" w:color="4BACC6"/>
            </w:tcBorders>
          </w:tcPr>
          <w:p>
            <w:pPr>
              <w:pStyle w:val="Normal"/>
              <w:widowControl/>
              <w:spacing w:lineRule="auto" w:line="240" w:before="60" w:after="40"/>
              <w:jc w:val="left"/>
              <w:rPr>
                <w:u w:val="single"/>
              </w:rPr>
            </w:pPr>
            <w:r>
              <w:rPr>
                <w:rFonts w:eastAsia="Calibri" w:cs=""/>
                <w:kern w:val="0"/>
                <w:sz w:val="22"/>
                <w:szCs w:val="22"/>
                <w:u w:val="single"/>
                <w:lang w:val="pl-PL" w:eastAsia="en-US" w:bidi="ar-SA"/>
              </w:rPr>
              <w:t>spełnia wymagania na ocenę dobrą, a ponadto: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spacing w:val="-8"/>
                <w:kern w:val="0"/>
                <w:sz w:val="22"/>
                <w:szCs w:val="22"/>
                <w:lang w:val="pl-PL" w:eastAsia="en-US" w:bidi="ar-SA"/>
              </w:rPr>
              <w:t xml:space="preserve">układa 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równoważniki zdań, zdania pojedyncze, złożone (współrzędnie, podrzędnie i wielokrotnie) oraz wypowiedzenia z imiesłowowym równoważnikiem zdania, zachowując poprawną interpunkcję,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20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odpowiednio nazywa wypowiedzenia składowe zdań wielokrotnie złożonych,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stosuje imiesłowowy równoważnik zdania w swoich wypowiedziach,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przy zapisie dialogu stosuje poprawną interpunkcję.</w:t>
            </w:r>
          </w:p>
        </w:tc>
        <w:tc>
          <w:tcPr>
            <w:tcW w:w="2871" w:type="dxa"/>
            <w:tcBorders>
              <w:top w:val="single" w:sz="2" w:space="0" w:color="0070C0"/>
              <w:left w:val="single" w:sz="6" w:space="0" w:color="4BACC6"/>
              <w:bottom w:val="single" w:sz="4" w:space="0" w:color="4BACC6"/>
              <w:right w:val="single" w:sz="4" w:space="0" w:color="4BACC6"/>
            </w:tcBorders>
          </w:tcPr>
          <w:p>
            <w:pPr>
              <w:pStyle w:val="Normal"/>
              <w:widowControl/>
              <w:spacing w:lineRule="auto" w:line="240" w:before="60" w:after="40"/>
              <w:jc w:val="left"/>
              <w:rPr>
                <w:u w:val="single"/>
              </w:rPr>
            </w:pPr>
            <w:r>
              <w:rPr>
                <w:rFonts w:eastAsia="Calibri" w:cs=""/>
                <w:kern w:val="0"/>
                <w:sz w:val="22"/>
                <w:szCs w:val="22"/>
                <w:u w:val="single"/>
                <w:lang w:val="pl-PL" w:eastAsia="en-US" w:bidi="ar-SA"/>
              </w:rPr>
              <w:t>spełnia wymagania na ocenę bardzo dobrą, a ponadto: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poprawnie stosuje w swoich wypowiedziach zdanie, równoważnik zdania, imiesłowowy równoważnik zdania oraz wypowiedzenia wielokrotnie złożone,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wskazuje i poprawia błędy związane z użyciem imiesłowowego równoważnika zdania oraz składnią zdania złożonego,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przeprowadza analizę składniową zdań wielokrotnie złożonych,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redaguje tekst, w którym wypowiedzi bohaterów zapisuje w formie mowy niezależnej.</w:t>
            </w:r>
          </w:p>
        </w:tc>
      </w:tr>
    </w:tbl>
    <w:p>
      <w:pPr>
        <w:pStyle w:val="Normal"/>
        <w:spacing w:before="120" w:after="240"/>
        <w:rPr/>
      </w:pPr>
      <w:r>
        <w:rPr>
          <w:b/>
          <w:bCs/>
          <w:color w:val="FFC000"/>
          <w:sz w:val="32"/>
          <w:szCs w:val="32"/>
        </w:rPr>
        <w:t xml:space="preserve">II.2. Zróżnicowanie języka </w:t>
      </w:r>
    </w:p>
    <w:tbl>
      <w:tblPr>
        <w:tblStyle w:val="Tabela-Siatka"/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62"/>
        <w:gridCol w:w="3083"/>
        <w:gridCol w:w="2975"/>
        <w:gridCol w:w="2879"/>
        <w:gridCol w:w="2871"/>
      </w:tblGrid>
      <w:tr>
        <w:trPr>
          <w:tblHeader w:val="true"/>
          <w:trHeight w:val="205" w:hRule="atLeast"/>
          <w:cantSplit w:val="true"/>
        </w:trPr>
        <w:tc>
          <w:tcPr>
            <w:tcW w:w="14570" w:type="dxa"/>
            <w:gridSpan w:val="5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60" w:after="0"/>
              <w:jc w:val="center"/>
              <w:rPr>
                <w:rFonts w:cs="Calibri" w:cstheme="minorHAnsi"/>
                <w:b/>
                <w:bCs/>
                <w:color w:themeColor="background1" w:val="FFFFFF"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4"/>
                <w:szCs w:val="24"/>
                <w:lang w:val="pl-PL" w:eastAsia="en-US" w:bidi="ar-SA"/>
              </w:rPr>
              <w:t xml:space="preserve">Treści nauczania wskazane w </w:t>
            </w:r>
            <w:r>
              <w:rPr>
                <w:rFonts w:eastAsia="Calibri" w:cs="Calibri" w:cstheme="minorHAnsi"/>
                <w:b/>
                <w:bCs/>
                <w:i/>
                <w:iCs/>
                <w:color w:themeColor="background1" w:val="FFFFFF"/>
                <w:kern w:val="0"/>
                <w:sz w:val="24"/>
                <w:szCs w:val="24"/>
                <w:lang w:val="pl-PL" w:eastAsia="en-US" w:bidi="ar-SA"/>
              </w:rPr>
              <w:t xml:space="preserve">Podstawie programowej dla II etapu edukacyjnego </w:t>
            </w: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4"/>
                <w:szCs w:val="24"/>
                <w:lang w:val="pl-PL" w:eastAsia="en-US" w:bidi="ar-SA"/>
              </w:rPr>
              <w:t>(klasy 4–8)</w:t>
            </w:r>
          </w:p>
          <w:p>
            <w:pPr>
              <w:pStyle w:val="Normal"/>
              <w:widowControl/>
              <w:spacing w:lineRule="auto" w:line="240" w:before="0" w:after="60"/>
              <w:jc w:val="center"/>
              <w:rPr>
                <w:rFonts w:cs="Calibri" w:cstheme="minorHAnsi"/>
                <w:b/>
                <w:bC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4"/>
                <w:szCs w:val="24"/>
                <w:lang w:val="pl-PL" w:eastAsia="en-US" w:bidi="ar-SA"/>
              </w:rPr>
              <w:t xml:space="preserve">i zawarte w podręczniku </w:t>
            </w:r>
            <w:r>
              <w:rPr>
                <w:rFonts w:eastAsia="Calibri" w:cs="Calibri" w:cstheme="minorHAnsi"/>
                <w:b/>
                <w:bCs/>
                <w:i/>
                <w:iCs/>
                <w:color w:themeColor="background1" w:val="FFFFFF"/>
                <w:kern w:val="0"/>
                <w:sz w:val="24"/>
                <w:szCs w:val="24"/>
                <w:lang w:val="pl-PL" w:eastAsia="en-US" w:bidi="ar-SA"/>
              </w:rPr>
              <w:t>Zamieńmy słowo</w:t>
            </w: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4"/>
                <w:szCs w:val="24"/>
                <w:lang w:val="pl-PL" w:eastAsia="en-US" w:bidi="ar-SA"/>
              </w:rPr>
              <w:t xml:space="preserve"> dla klasy 8</w:t>
            </w:r>
          </w:p>
        </w:tc>
      </w:tr>
      <w:tr>
        <w:trPr>
          <w:tblHeader w:val="true"/>
          <w:trHeight w:val="340" w:hRule="atLeast"/>
          <w:cantSplit w:val="true"/>
        </w:trPr>
        <w:tc>
          <w:tcPr>
            <w:tcW w:w="2762" w:type="dxa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2"/>
                <w:szCs w:val="22"/>
                <w:lang w:val="pl-PL" w:eastAsia="en-US" w:bidi="ar-SA"/>
              </w:rPr>
              <w:t>ocena dopuszczająca</w:t>
            </w:r>
          </w:p>
        </w:tc>
        <w:tc>
          <w:tcPr>
            <w:tcW w:w="3083" w:type="dxa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2"/>
                <w:szCs w:val="22"/>
                <w:lang w:val="pl-PL" w:eastAsia="en-US" w:bidi="ar-SA"/>
              </w:rPr>
              <w:t>ocena dostateczna</w:t>
            </w:r>
          </w:p>
        </w:tc>
        <w:tc>
          <w:tcPr>
            <w:tcW w:w="2975" w:type="dxa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2"/>
                <w:szCs w:val="22"/>
                <w:lang w:val="pl-PL" w:eastAsia="en-US" w:bidi="ar-SA"/>
              </w:rPr>
              <w:t>ocena dobra</w:t>
            </w:r>
          </w:p>
        </w:tc>
        <w:tc>
          <w:tcPr>
            <w:tcW w:w="2879" w:type="dxa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2"/>
                <w:szCs w:val="22"/>
                <w:lang w:val="pl-PL" w:eastAsia="en-US" w:bidi="ar-SA"/>
              </w:rPr>
              <w:t>ocena bardzo dobra</w:t>
            </w:r>
          </w:p>
        </w:tc>
        <w:tc>
          <w:tcPr>
            <w:tcW w:w="2871" w:type="dxa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2"/>
                <w:szCs w:val="22"/>
                <w:lang w:val="pl-PL" w:eastAsia="en-US" w:bidi="ar-SA"/>
              </w:rPr>
              <w:t>ocena celująca</w:t>
            </w:r>
          </w:p>
        </w:tc>
      </w:tr>
      <w:tr>
        <w:trPr>
          <w:tblHeader w:val="true"/>
          <w:trHeight w:val="340" w:hRule="atLeast"/>
          <w:cantSplit w:val="true"/>
        </w:trPr>
        <w:tc>
          <w:tcPr>
            <w:tcW w:w="14570" w:type="dxa"/>
            <w:gridSpan w:val="5"/>
            <w:tcBorders>
              <w:top w:val="single" w:sz="4" w:space="0" w:color="FFFFFF"/>
              <w:left w:val="single" w:sz="6" w:space="0" w:color="FFFFFF"/>
              <w:bottom w:val="single" w:sz="2" w:space="0" w:color="0070C0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2"/>
                <w:szCs w:val="22"/>
                <w:lang w:val="pl-PL" w:eastAsia="en-US" w:bidi="ar-SA"/>
              </w:rPr>
              <w:t>Uczeń</w:t>
            </w:r>
          </w:p>
        </w:tc>
      </w:tr>
      <w:tr>
        <w:trPr>
          <w:tblHeader w:val="true"/>
          <w:trHeight w:val="397" w:hRule="atLeast"/>
          <w:cantSplit w:val="true"/>
        </w:trPr>
        <w:tc>
          <w:tcPr>
            <w:tcW w:w="14570" w:type="dxa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color="auto" w:fill="B6DDE8" w:themeFill="accent5" w:themeFillTint="66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cap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aps/>
                <w:kern w:val="0"/>
                <w:sz w:val="22"/>
                <w:szCs w:val="22"/>
                <w:lang w:val="pl-PL" w:eastAsia="en-US" w:bidi="ar-SA"/>
              </w:rPr>
              <w:t>zróżnicowanie języka</w:t>
            </w:r>
          </w:p>
        </w:tc>
      </w:tr>
      <w:tr>
        <w:trPr>
          <w:trHeight w:val="75" w:hRule="atLeast"/>
        </w:trPr>
        <w:tc>
          <w:tcPr>
            <w:tcW w:w="2762" w:type="dxa"/>
            <w:tcBorders>
              <w:top w:val="single" w:sz="2" w:space="0" w:color="0070C0"/>
              <w:left w:val="single" w:sz="4" w:space="0" w:color="4BACC6"/>
              <w:bottom w:val="single" w:sz="4" w:space="0" w:color="4BACC6"/>
              <w:right w:val="single" w:sz="6" w:space="0" w:color="4BACC6"/>
            </w:tcBorders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6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zna pojęcia: </w:t>
            </w:r>
            <w:r>
              <w:rPr>
                <w:rFonts w:eastAsia="Calibri" w:cs=""/>
                <w:i/>
                <w:iCs/>
                <w:kern w:val="0"/>
                <w:sz w:val="22"/>
                <w:szCs w:val="22"/>
                <w:lang w:val="pl-PL" w:eastAsia="en-US" w:bidi="ar-SA"/>
              </w:rPr>
              <w:t>synonim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, </w:t>
            </w:r>
            <w:r>
              <w:rPr>
                <w:rFonts w:eastAsia="Calibri" w:cs=""/>
                <w:i/>
                <w:iCs/>
                <w:kern w:val="0"/>
                <w:sz w:val="22"/>
                <w:szCs w:val="22"/>
                <w:lang w:val="pl-PL" w:eastAsia="en-US" w:bidi="ar-SA"/>
              </w:rPr>
              <w:t>antonim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, </w:t>
            </w:r>
            <w:r>
              <w:rPr>
                <w:rFonts w:eastAsia="Calibri" w:cs=""/>
                <w:i/>
                <w:iCs/>
                <w:kern w:val="0"/>
                <w:sz w:val="22"/>
                <w:szCs w:val="22"/>
                <w:lang w:val="pl-PL" w:eastAsia="en-US" w:bidi="ar-SA"/>
              </w:rPr>
              <w:t>homonim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, </w:t>
            </w:r>
            <w:r>
              <w:rPr>
                <w:rFonts w:eastAsia="Calibri" w:cs=""/>
                <w:i/>
                <w:iCs/>
                <w:kern w:val="0"/>
                <w:sz w:val="22"/>
                <w:szCs w:val="22"/>
                <w:lang w:val="pl-PL" w:eastAsia="en-US" w:bidi="ar-SA"/>
              </w:rPr>
              <w:t>wyraz wieloznaczny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, </w:t>
            </w:r>
            <w:r>
              <w:rPr>
                <w:rFonts w:eastAsia="Calibri" w:cs=""/>
                <w:i/>
                <w:iCs/>
                <w:kern w:val="0"/>
                <w:sz w:val="22"/>
                <w:szCs w:val="22"/>
                <w:lang w:val="pl-PL" w:eastAsia="en-US" w:bidi="ar-SA"/>
              </w:rPr>
              <w:t>neologizm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, </w:t>
            </w:r>
            <w:r>
              <w:rPr>
                <w:rFonts w:eastAsia="Calibri" w:cs=""/>
                <w:i/>
                <w:iCs/>
                <w:kern w:val="0"/>
                <w:sz w:val="22"/>
                <w:szCs w:val="22"/>
                <w:lang w:val="pl-PL" w:eastAsia="en-US" w:bidi="ar-SA"/>
              </w:rPr>
              <w:t>archaizm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, </w:t>
            </w:r>
            <w:r>
              <w:rPr>
                <w:rFonts w:eastAsia="Calibri" w:cs=""/>
                <w:i/>
                <w:iCs/>
                <w:spacing w:val="-6"/>
                <w:kern w:val="0"/>
                <w:sz w:val="22"/>
                <w:szCs w:val="22"/>
                <w:lang w:val="pl-PL" w:eastAsia="en-US" w:bidi="ar-SA"/>
              </w:rPr>
              <w:t>kolokwializm</w:t>
            </w:r>
            <w:r>
              <w:rPr>
                <w:rFonts w:eastAsia="Calibri" w:cs=""/>
                <w:spacing w:val="-6"/>
                <w:kern w:val="0"/>
                <w:sz w:val="22"/>
                <w:szCs w:val="22"/>
                <w:lang w:val="pl-PL" w:eastAsia="en-US" w:bidi="ar-SA"/>
              </w:rPr>
              <w:t xml:space="preserve">, </w:t>
            </w:r>
            <w:r>
              <w:rPr>
                <w:rFonts w:eastAsia="Calibri" w:cs=""/>
                <w:i/>
                <w:iCs/>
                <w:spacing w:val="-6"/>
                <w:kern w:val="0"/>
                <w:sz w:val="22"/>
                <w:szCs w:val="22"/>
                <w:lang w:val="pl-PL" w:eastAsia="en-US" w:bidi="ar-SA"/>
              </w:rPr>
              <w:t>zapożyczenie</w:t>
            </w:r>
            <w:r>
              <w:rPr>
                <w:rFonts w:eastAsia="Calibri" w:cs=""/>
                <w:spacing w:val="-6"/>
                <w:kern w:val="0"/>
                <w:sz w:val="22"/>
                <w:szCs w:val="22"/>
                <w:lang w:val="pl-PL" w:eastAsia="en-US" w:bidi="ar-SA"/>
              </w:rPr>
              <w:t>,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eastAsia="Calibri" w:cs=""/>
                <w:i/>
                <w:iCs/>
                <w:kern w:val="0"/>
                <w:sz w:val="22"/>
                <w:szCs w:val="22"/>
                <w:lang w:val="pl-PL" w:eastAsia="en-US" w:bidi="ar-SA"/>
              </w:rPr>
              <w:t>związek frazeologiczny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6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wie, czym jest słownictwo wartościujące,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6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rozróżnia synonim od antonimu i homonimu, a  archaizm od neologizmu,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6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dostrzega archaizmy w utworze,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6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dostrzega kolokwializmy w wypowiedzi i próbuje je zastąpić wyrazami ze słownictwa ogólnego,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6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wie, że zapożyczenie można zastąpić wyrazem rodzimym,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6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odróżnia treść i zakres znaczeniowy wyrazu,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6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wie, że zasób słownictwa jest stale wzbogacany,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6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wie, co to jest styl językowy,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6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zna różne rodzaje stylów językowych.</w:t>
            </w:r>
          </w:p>
        </w:tc>
        <w:tc>
          <w:tcPr>
            <w:tcW w:w="3083" w:type="dxa"/>
            <w:tcBorders>
              <w:top w:val="single" w:sz="2" w:space="0" w:color="0070C0"/>
              <w:left w:val="single" w:sz="6" w:space="0" w:color="4BACC6"/>
              <w:bottom w:val="single" w:sz="4" w:space="0" w:color="4BACC6"/>
              <w:right w:val="single" w:sz="6" w:space="0" w:color="4BACC6"/>
            </w:tcBorders>
          </w:tcPr>
          <w:p>
            <w:pPr>
              <w:pStyle w:val="Normal"/>
              <w:widowControl/>
              <w:spacing w:lineRule="auto" w:line="240" w:before="60" w:after="40"/>
              <w:jc w:val="left"/>
              <w:rPr>
                <w:u w:val="single"/>
              </w:rPr>
            </w:pPr>
            <w:r>
              <w:rPr>
                <w:rFonts w:eastAsia="Calibri" w:cs=""/>
                <w:kern w:val="0"/>
                <w:sz w:val="22"/>
                <w:szCs w:val="22"/>
                <w:u w:val="single"/>
                <w:lang w:val="pl-PL" w:eastAsia="en-US" w:bidi="ar-SA"/>
              </w:rPr>
              <w:t>spełnia wymagania na ocenę dopuszczającą, a ponadto: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60" w:after="20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spacing w:val="-8"/>
                <w:kern w:val="0"/>
                <w:sz w:val="22"/>
                <w:szCs w:val="22"/>
                <w:lang w:val="pl-PL" w:eastAsia="en-US" w:bidi="ar-SA"/>
              </w:rPr>
              <w:t xml:space="preserve">rozumie pojęcia: </w:t>
            </w:r>
            <w:r>
              <w:rPr>
                <w:rFonts w:eastAsia="Calibri" w:cs=""/>
                <w:i/>
                <w:iCs/>
                <w:kern w:val="0"/>
                <w:sz w:val="22"/>
                <w:szCs w:val="22"/>
                <w:lang w:val="pl-PL" w:eastAsia="en-US" w:bidi="ar-SA"/>
              </w:rPr>
              <w:t>synonim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, </w:t>
            </w:r>
            <w:r>
              <w:rPr>
                <w:rFonts w:eastAsia="Calibri" w:cs=""/>
                <w:i/>
                <w:iCs/>
                <w:kern w:val="0"/>
                <w:sz w:val="22"/>
                <w:szCs w:val="22"/>
                <w:lang w:val="pl-PL" w:eastAsia="en-US" w:bidi="ar-SA"/>
              </w:rPr>
              <w:t>antonim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, </w:t>
            </w:r>
            <w:r>
              <w:rPr>
                <w:rFonts w:eastAsia="Calibri" w:cs=""/>
                <w:i/>
                <w:iCs/>
                <w:kern w:val="0"/>
                <w:sz w:val="22"/>
                <w:szCs w:val="22"/>
                <w:lang w:val="pl-PL" w:eastAsia="en-US" w:bidi="ar-SA"/>
              </w:rPr>
              <w:t>homonim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, </w:t>
            </w:r>
            <w:r>
              <w:rPr>
                <w:rFonts w:eastAsia="Calibri" w:cs=""/>
                <w:i/>
                <w:iCs/>
                <w:kern w:val="0"/>
                <w:sz w:val="22"/>
                <w:szCs w:val="22"/>
                <w:lang w:val="pl-PL" w:eastAsia="en-US" w:bidi="ar-SA"/>
              </w:rPr>
              <w:t>wyraz wieloznaczny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, </w:t>
            </w:r>
            <w:r>
              <w:rPr>
                <w:rFonts w:eastAsia="Calibri" w:cs=""/>
                <w:i/>
                <w:iCs/>
                <w:kern w:val="0"/>
                <w:sz w:val="22"/>
                <w:szCs w:val="22"/>
                <w:lang w:val="pl-PL" w:eastAsia="en-US" w:bidi="ar-SA"/>
              </w:rPr>
              <w:t>neologizm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, </w:t>
            </w:r>
            <w:r>
              <w:rPr>
                <w:rFonts w:eastAsia="Calibri" w:cs=""/>
                <w:i/>
                <w:iCs/>
                <w:kern w:val="0"/>
                <w:sz w:val="22"/>
                <w:szCs w:val="22"/>
                <w:lang w:val="pl-PL" w:eastAsia="en-US" w:bidi="ar-SA"/>
              </w:rPr>
              <w:t>archaizm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, </w:t>
            </w:r>
            <w:r>
              <w:rPr>
                <w:rFonts w:eastAsia="Calibri" w:cs=""/>
                <w:i/>
                <w:iCs/>
                <w:spacing w:val="-6"/>
                <w:kern w:val="0"/>
                <w:sz w:val="22"/>
                <w:szCs w:val="22"/>
                <w:lang w:val="pl-PL" w:eastAsia="en-US" w:bidi="ar-SA"/>
              </w:rPr>
              <w:t>kolokwializm</w:t>
            </w:r>
            <w:r>
              <w:rPr>
                <w:rFonts w:eastAsia="Calibri" w:cs=""/>
                <w:spacing w:val="-6"/>
                <w:kern w:val="0"/>
                <w:sz w:val="22"/>
                <w:szCs w:val="22"/>
                <w:lang w:val="pl-PL" w:eastAsia="en-US" w:bidi="ar-SA"/>
              </w:rPr>
              <w:t xml:space="preserve">, </w:t>
            </w:r>
            <w:r>
              <w:rPr>
                <w:rFonts w:eastAsia="Calibri" w:cs=""/>
                <w:i/>
                <w:iCs/>
                <w:spacing w:val="-6"/>
                <w:kern w:val="0"/>
                <w:sz w:val="22"/>
                <w:szCs w:val="22"/>
                <w:lang w:val="pl-PL" w:eastAsia="en-US" w:bidi="ar-SA"/>
              </w:rPr>
              <w:t>zapożyczenie</w:t>
            </w:r>
            <w:r>
              <w:rPr>
                <w:rFonts w:eastAsia="Calibri" w:cs=""/>
                <w:spacing w:val="-6"/>
                <w:kern w:val="0"/>
                <w:sz w:val="22"/>
                <w:szCs w:val="22"/>
                <w:lang w:val="pl-PL" w:eastAsia="en-US" w:bidi="ar-SA"/>
              </w:rPr>
              <w:t>,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eastAsia="Calibri" w:cs=""/>
                <w:i/>
                <w:iCs/>
                <w:kern w:val="0"/>
                <w:sz w:val="22"/>
                <w:szCs w:val="22"/>
                <w:lang w:val="pl-PL" w:eastAsia="en-US" w:bidi="ar-SA"/>
              </w:rPr>
              <w:t>związek frazeologiczny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wskazuje synonimy, antonimy, homonimy i frazeologizmy,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zna znaczenie wybranych związków frazeologicznych,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spacing w:val="-4"/>
              </w:rPr>
            </w:pPr>
            <w:r>
              <w:rPr>
                <w:rFonts w:eastAsia="Calibri" w:cs=""/>
                <w:spacing w:val="-6"/>
                <w:kern w:val="0"/>
                <w:sz w:val="22"/>
                <w:szCs w:val="22"/>
                <w:lang w:val="pl-PL" w:eastAsia="en-US" w:bidi="ar-SA"/>
              </w:rPr>
              <w:t>zna rodzaje i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 funkcje archaizmów, neologizmów i </w:t>
            </w:r>
            <w:r>
              <w:rPr>
                <w:rFonts w:eastAsia="Calibri" w:cs=""/>
                <w:spacing w:val="-4"/>
                <w:kern w:val="0"/>
                <w:sz w:val="22"/>
                <w:szCs w:val="22"/>
                <w:lang w:val="pl-PL" w:eastAsia="en-US" w:bidi="ar-SA"/>
              </w:rPr>
              <w:t>zapożyczeń,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zastępuje kolokwializmy wyrazami ze słownictwa ogólnego, a zapożyczenia – wyrazami rodzimymi,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tworzy wyrazy o szerszym zakresie lub bogatszej treści,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rozpoznaje zdrobnienia i zgrubienia,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zna sposoby wzbogacania słownictwa,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rozpoznaje różnice między językiem mówionym a pisanym, oficjalnym a nieoficjalnym,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rozpoznaje różne rodzaje stylów językowych,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zna środki językowe charakterystyczne dla różnych stylów.</w:t>
            </w:r>
          </w:p>
        </w:tc>
        <w:tc>
          <w:tcPr>
            <w:tcW w:w="2975" w:type="dxa"/>
            <w:tcBorders>
              <w:top w:val="single" w:sz="2" w:space="0" w:color="0070C0"/>
              <w:left w:val="single" w:sz="6" w:space="0" w:color="4BACC6"/>
              <w:bottom w:val="single" w:sz="4" w:space="0" w:color="4BACC6"/>
              <w:right w:val="single" w:sz="6" w:space="0" w:color="4BACC6"/>
            </w:tcBorders>
          </w:tcPr>
          <w:p>
            <w:pPr>
              <w:pStyle w:val="Normal"/>
              <w:widowControl/>
              <w:spacing w:lineRule="auto" w:line="240" w:before="60" w:after="40"/>
              <w:jc w:val="left"/>
              <w:rPr>
                <w:u w:val="single"/>
              </w:rPr>
            </w:pPr>
            <w:r>
              <w:rPr>
                <w:rFonts w:eastAsia="Calibri" w:cs=""/>
                <w:kern w:val="0"/>
                <w:sz w:val="22"/>
                <w:szCs w:val="22"/>
                <w:u w:val="single"/>
                <w:lang w:val="pl-PL" w:eastAsia="en-US" w:bidi="ar-SA"/>
              </w:rPr>
              <w:t>spełnia wymagania na ocenę dostateczną, a ponadto: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spacing w:val="-6"/>
              </w:rPr>
            </w:pPr>
            <w:r>
              <w:rPr>
                <w:rFonts w:eastAsia="Calibri" w:cs=""/>
                <w:spacing w:val="-6"/>
                <w:kern w:val="0"/>
                <w:sz w:val="22"/>
                <w:szCs w:val="22"/>
                <w:lang w:val="pl-PL" w:eastAsia="en-US" w:bidi="ar-SA"/>
              </w:rPr>
              <w:t>podaje przykłady synonimów, antonimów i homonimów,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wskazuje związki frazeologiczne w utworze, rozumie ich znaczenie,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podaje przykłady archaizmów i neologizmów, zdrobnień, zgrubień, związków frazeologicznych i określa ich funkcje w tekście,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spacing w:val="-2"/>
                <w:kern w:val="0"/>
                <w:sz w:val="22"/>
                <w:szCs w:val="22"/>
                <w:lang w:val="pl-PL" w:eastAsia="en-US" w:bidi="ar-SA"/>
              </w:rPr>
              <w:t>omawia funkcje kolokwializmów i słownictwa wartościującego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wymienia różne rodzaje zapożyczeń, wyjaśnia ich funkcje i omawia ich przydatność,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rozpoznaje i omawia wyznaczniki stylu językowego,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rozpoznaje cechy stylu w czytanym tekście,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omawia różne rodzaje stylów językowych.</w:t>
            </w:r>
          </w:p>
        </w:tc>
        <w:tc>
          <w:tcPr>
            <w:tcW w:w="2879" w:type="dxa"/>
            <w:tcBorders>
              <w:top w:val="single" w:sz="2" w:space="0" w:color="0070C0"/>
              <w:left w:val="single" w:sz="6" w:space="0" w:color="4BACC6"/>
              <w:bottom w:val="single" w:sz="4" w:space="0" w:color="4BACC6"/>
              <w:right w:val="single" w:sz="6" w:space="0" w:color="4BACC6"/>
            </w:tcBorders>
          </w:tcPr>
          <w:p>
            <w:pPr>
              <w:pStyle w:val="Normal"/>
              <w:widowControl/>
              <w:spacing w:lineRule="auto" w:line="240" w:before="60" w:after="40"/>
              <w:jc w:val="left"/>
              <w:rPr>
                <w:u w:val="single"/>
              </w:rPr>
            </w:pPr>
            <w:r>
              <w:rPr>
                <w:rFonts w:eastAsia="Calibri" w:cs=""/>
                <w:kern w:val="0"/>
                <w:sz w:val="22"/>
                <w:szCs w:val="22"/>
                <w:u w:val="single"/>
                <w:lang w:val="pl-PL" w:eastAsia="en-US" w:bidi="ar-SA"/>
              </w:rPr>
              <w:t>spełnia wymagania na ocenę dobrą, a ponadto: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tworzy synonimy oraz antonimy konkretnych słów,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spacing w:val="-2"/>
              </w:rPr>
            </w:pPr>
            <w:r>
              <w:rPr>
                <w:rFonts w:eastAsia="Calibri" w:cs=""/>
                <w:spacing w:val="-2"/>
                <w:kern w:val="0"/>
                <w:sz w:val="22"/>
                <w:szCs w:val="22"/>
                <w:lang w:val="pl-PL" w:eastAsia="en-US" w:bidi="ar-SA"/>
              </w:rPr>
              <w:t>wyjaśnia różnicę między archaizmem a neologizmem oraz zdrobnieniem a zgrubieniem,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poprawnie używa </w:t>
            </w:r>
            <w:r>
              <w:rPr>
                <w:rFonts w:eastAsia="Calibri" w:cs=""/>
                <w:spacing w:val="-2"/>
                <w:kern w:val="0"/>
                <w:sz w:val="22"/>
                <w:szCs w:val="22"/>
                <w:lang w:val="pl-PL" w:eastAsia="en-US" w:bidi="ar-SA"/>
              </w:rPr>
              <w:t xml:space="preserve">frazeologizmów 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 swoich wypowiedziach,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interpretuje tekst, biorąc pod uwagę znaczenie i funkcję archaizmów, neologizmów, kolokwializmów,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6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stosuje różne sposoby wzbogacania słownictwa,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wskazuje w tekście środki charakterystyczne dla różnych stylów językowych,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podaje przykłady tekstów pisanych różnymi stylami.</w:t>
            </w:r>
          </w:p>
        </w:tc>
        <w:tc>
          <w:tcPr>
            <w:tcW w:w="2871" w:type="dxa"/>
            <w:tcBorders>
              <w:top w:val="single" w:sz="2" w:space="0" w:color="0070C0"/>
              <w:left w:val="single" w:sz="6" w:space="0" w:color="4BACC6"/>
              <w:bottom w:val="single" w:sz="4" w:space="0" w:color="4BACC6"/>
              <w:right w:val="single" w:sz="4" w:space="0" w:color="4BACC6"/>
            </w:tcBorders>
          </w:tcPr>
          <w:p>
            <w:pPr>
              <w:pStyle w:val="Normal"/>
              <w:widowControl/>
              <w:spacing w:lineRule="auto" w:line="240" w:before="60" w:after="40"/>
              <w:jc w:val="left"/>
              <w:rPr>
                <w:u w:val="single"/>
              </w:rPr>
            </w:pPr>
            <w:r>
              <w:rPr>
                <w:rFonts w:eastAsia="Calibri" w:cs=""/>
                <w:kern w:val="0"/>
                <w:sz w:val="22"/>
                <w:szCs w:val="22"/>
                <w:u w:val="single"/>
                <w:lang w:val="pl-PL" w:eastAsia="en-US" w:bidi="ar-SA"/>
              </w:rPr>
              <w:t>spełnia wymagania na ocenę bardzo dobrą, a ponadto: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funkcjonalnie wykorzystuje zdobyte wiadomości,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urozmaica język swojej wypowiedzi,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świadomie stosuje neologizmy w swoich wypowiedziach,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świadomie używa kolokwializmów i archaizmów w celu stylizacji tekstu,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na bieżąco wzbogaca swoje słownictwo,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koryguje błędy swoje i innych,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tworzy prace w odpowiednim stylu językowym.</w:t>
            </w:r>
          </w:p>
        </w:tc>
      </w:tr>
    </w:tbl>
    <w:p>
      <w:pPr>
        <w:pStyle w:val="Normal"/>
        <w:spacing w:before="0" w:after="0"/>
        <w:rPr>
          <w:b/>
          <w:bCs/>
          <w:color w:val="FFC000"/>
          <w:sz w:val="32"/>
          <w:szCs w:val="32"/>
        </w:rPr>
      </w:pPr>
      <w:r>
        <w:rPr>
          <w:b/>
          <w:bCs/>
          <w:color w:val="FFC000"/>
          <w:sz w:val="32"/>
          <w:szCs w:val="32"/>
        </w:rPr>
      </w:r>
    </w:p>
    <w:p>
      <w:pPr>
        <w:pStyle w:val="Normal"/>
        <w:spacing w:before="0" w:after="0"/>
        <w:rPr>
          <w:b/>
          <w:bCs/>
          <w:color w:val="FFC000"/>
          <w:sz w:val="32"/>
          <w:szCs w:val="32"/>
        </w:rPr>
      </w:pPr>
      <w:r>
        <w:rPr>
          <w:b/>
          <w:bCs/>
          <w:color w:val="FFC000"/>
          <w:sz w:val="32"/>
          <w:szCs w:val="32"/>
        </w:rPr>
      </w:r>
    </w:p>
    <w:p>
      <w:pPr>
        <w:pStyle w:val="Normal"/>
        <w:spacing w:before="0" w:after="0"/>
        <w:rPr>
          <w:b/>
          <w:bCs/>
          <w:color w:val="FFC000"/>
          <w:sz w:val="32"/>
          <w:szCs w:val="32"/>
        </w:rPr>
      </w:pPr>
      <w:r>
        <w:rPr>
          <w:b/>
          <w:bCs/>
          <w:color w:val="FFC000"/>
          <w:sz w:val="32"/>
          <w:szCs w:val="32"/>
        </w:rPr>
      </w:r>
    </w:p>
    <w:p>
      <w:pPr>
        <w:pStyle w:val="Normal"/>
        <w:spacing w:before="0" w:after="0"/>
        <w:rPr>
          <w:b/>
          <w:bCs/>
          <w:color w:val="FFC000"/>
          <w:sz w:val="32"/>
          <w:szCs w:val="32"/>
        </w:rPr>
      </w:pPr>
      <w:r>
        <w:rPr>
          <w:b/>
          <w:bCs/>
          <w:color w:val="FFC000"/>
          <w:sz w:val="32"/>
          <w:szCs w:val="32"/>
        </w:rPr>
      </w:r>
    </w:p>
    <w:p>
      <w:pPr>
        <w:pStyle w:val="Normal"/>
        <w:spacing w:before="0" w:after="0"/>
        <w:rPr>
          <w:b/>
          <w:bCs/>
          <w:color w:val="FFC000"/>
          <w:sz w:val="32"/>
          <w:szCs w:val="32"/>
        </w:rPr>
      </w:pPr>
      <w:r>
        <w:rPr>
          <w:b/>
          <w:bCs/>
          <w:color w:val="FFC000"/>
          <w:sz w:val="32"/>
          <w:szCs w:val="32"/>
        </w:rPr>
      </w:r>
    </w:p>
    <w:p>
      <w:pPr>
        <w:pStyle w:val="Normal"/>
        <w:spacing w:before="0" w:after="0"/>
        <w:rPr>
          <w:b/>
          <w:bCs/>
          <w:color w:val="FFC000"/>
          <w:sz w:val="32"/>
          <w:szCs w:val="32"/>
        </w:rPr>
      </w:pPr>
      <w:r>
        <w:rPr>
          <w:b/>
          <w:bCs/>
          <w:color w:val="FFC000"/>
          <w:sz w:val="32"/>
          <w:szCs w:val="32"/>
        </w:rPr>
      </w:r>
    </w:p>
    <w:p>
      <w:pPr>
        <w:pStyle w:val="Normal"/>
        <w:spacing w:before="0" w:after="0"/>
        <w:rPr>
          <w:b/>
          <w:bCs/>
          <w:color w:val="FFC000"/>
          <w:sz w:val="32"/>
          <w:szCs w:val="32"/>
        </w:rPr>
      </w:pPr>
      <w:r>
        <w:rPr>
          <w:b/>
          <w:bCs/>
          <w:color w:val="FFC000"/>
          <w:sz w:val="32"/>
          <w:szCs w:val="32"/>
        </w:rPr>
      </w:r>
    </w:p>
    <w:p>
      <w:pPr>
        <w:pStyle w:val="Normal"/>
        <w:spacing w:before="0" w:after="0"/>
        <w:rPr>
          <w:b/>
          <w:bCs/>
          <w:color w:val="FFC000"/>
          <w:sz w:val="28"/>
          <w:szCs w:val="28"/>
        </w:rPr>
      </w:pPr>
      <w:r>
        <w:rPr>
          <w:b/>
          <w:bCs/>
          <w:color w:val="FFC000"/>
          <w:sz w:val="32"/>
          <w:szCs w:val="32"/>
        </w:rPr>
        <w:t>II.3. Komunikacja językowa i kultura języka</w:t>
      </w:r>
    </w:p>
    <w:tbl>
      <w:tblPr>
        <w:tblStyle w:val="Tabela-Siatka"/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62"/>
        <w:gridCol w:w="3083"/>
        <w:gridCol w:w="2975"/>
        <w:gridCol w:w="2879"/>
        <w:gridCol w:w="2871"/>
      </w:tblGrid>
      <w:tr>
        <w:trPr>
          <w:tblHeader w:val="true"/>
          <w:trHeight w:val="205" w:hRule="atLeast"/>
          <w:cantSplit w:val="true"/>
        </w:trPr>
        <w:tc>
          <w:tcPr>
            <w:tcW w:w="14570" w:type="dxa"/>
            <w:gridSpan w:val="5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60" w:after="0"/>
              <w:jc w:val="center"/>
              <w:rPr>
                <w:rFonts w:cs="Calibri" w:cstheme="minorHAnsi"/>
                <w:b/>
                <w:bCs/>
                <w:color w:themeColor="background1" w:val="FFFFFF"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4"/>
                <w:szCs w:val="24"/>
                <w:lang w:val="pl-PL" w:eastAsia="en-US" w:bidi="ar-SA"/>
              </w:rPr>
              <w:t xml:space="preserve">Treści nauczania wskazane w </w:t>
            </w:r>
            <w:r>
              <w:rPr>
                <w:rFonts w:eastAsia="Calibri" w:cs="Calibri" w:cstheme="minorHAnsi"/>
                <w:b/>
                <w:bCs/>
                <w:i/>
                <w:iCs/>
                <w:color w:themeColor="background1" w:val="FFFFFF"/>
                <w:kern w:val="0"/>
                <w:sz w:val="24"/>
                <w:szCs w:val="24"/>
                <w:lang w:val="pl-PL" w:eastAsia="en-US" w:bidi="ar-SA"/>
              </w:rPr>
              <w:t xml:space="preserve">Podstawie programowej dla II etapu edukacyjnego </w:t>
            </w: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4"/>
                <w:szCs w:val="24"/>
                <w:lang w:val="pl-PL" w:eastAsia="en-US" w:bidi="ar-SA"/>
              </w:rPr>
              <w:t>(klasy 4–8)</w:t>
            </w:r>
          </w:p>
          <w:p>
            <w:pPr>
              <w:pStyle w:val="Normal"/>
              <w:widowControl/>
              <w:spacing w:lineRule="auto" w:line="240" w:before="0" w:after="60"/>
              <w:jc w:val="center"/>
              <w:rPr>
                <w:rFonts w:cs="Calibri" w:cstheme="minorHAnsi"/>
                <w:b/>
                <w:bC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4"/>
                <w:szCs w:val="24"/>
                <w:lang w:val="pl-PL" w:eastAsia="en-US" w:bidi="ar-SA"/>
              </w:rPr>
              <w:t xml:space="preserve">i zawarte w podręczniku </w:t>
            </w:r>
            <w:r>
              <w:rPr>
                <w:rFonts w:eastAsia="Calibri" w:cs="Calibri" w:cstheme="minorHAnsi"/>
                <w:b/>
                <w:bCs/>
                <w:i/>
                <w:iCs/>
                <w:color w:themeColor="background1" w:val="FFFFFF"/>
                <w:kern w:val="0"/>
                <w:sz w:val="24"/>
                <w:szCs w:val="24"/>
                <w:lang w:val="pl-PL" w:eastAsia="en-US" w:bidi="ar-SA"/>
              </w:rPr>
              <w:t>Zamieńmy słowo</w:t>
            </w: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4"/>
                <w:szCs w:val="24"/>
                <w:lang w:val="pl-PL" w:eastAsia="en-US" w:bidi="ar-SA"/>
              </w:rPr>
              <w:t xml:space="preserve"> dla klasy 8</w:t>
            </w:r>
          </w:p>
        </w:tc>
      </w:tr>
      <w:tr>
        <w:trPr>
          <w:tblHeader w:val="true"/>
          <w:trHeight w:val="340" w:hRule="atLeast"/>
          <w:cantSplit w:val="true"/>
        </w:trPr>
        <w:tc>
          <w:tcPr>
            <w:tcW w:w="2762" w:type="dxa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2"/>
                <w:szCs w:val="22"/>
                <w:lang w:val="pl-PL" w:eastAsia="en-US" w:bidi="ar-SA"/>
              </w:rPr>
              <w:t>ocena dopuszczająca</w:t>
            </w:r>
          </w:p>
        </w:tc>
        <w:tc>
          <w:tcPr>
            <w:tcW w:w="3083" w:type="dxa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2"/>
                <w:szCs w:val="22"/>
                <w:lang w:val="pl-PL" w:eastAsia="en-US" w:bidi="ar-SA"/>
              </w:rPr>
              <w:t>ocena dostateczna</w:t>
            </w:r>
          </w:p>
        </w:tc>
        <w:tc>
          <w:tcPr>
            <w:tcW w:w="2975" w:type="dxa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2"/>
                <w:szCs w:val="22"/>
                <w:lang w:val="pl-PL" w:eastAsia="en-US" w:bidi="ar-SA"/>
              </w:rPr>
              <w:t>ocena dobra</w:t>
            </w:r>
          </w:p>
        </w:tc>
        <w:tc>
          <w:tcPr>
            <w:tcW w:w="2879" w:type="dxa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2"/>
                <w:szCs w:val="22"/>
                <w:lang w:val="pl-PL" w:eastAsia="en-US" w:bidi="ar-SA"/>
              </w:rPr>
              <w:t>ocena bardzo dobra</w:t>
            </w:r>
          </w:p>
        </w:tc>
        <w:tc>
          <w:tcPr>
            <w:tcW w:w="2871" w:type="dxa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2"/>
                <w:szCs w:val="22"/>
                <w:lang w:val="pl-PL" w:eastAsia="en-US" w:bidi="ar-SA"/>
              </w:rPr>
              <w:t>ocena celująca</w:t>
            </w:r>
          </w:p>
        </w:tc>
      </w:tr>
      <w:tr>
        <w:trPr>
          <w:tblHeader w:val="true"/>
          <w:trHeight w:val="340" w:hRule="atLeast"/>
          <w:cantSplit w:val="true"/>
        </w:trPr>
        <w:tc>
          <w:tcPr>
            <w:tcW w:w="14570" w:type="dxa"/>
            <w:gridSpan w:val="5"/>
            <w:tcBorders>
              <w:top w:val="single" w:sz="4" w:space="0" w:color="FFFFFF"/>
              <w:left w:val="single" w:sz="6" w:space="0" w:color="FFFFFF"/>
              <w:bottom w:val="single" w:sz="2" w:space="0" w:color="0070C0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2"/>
                <w:szCs w:val="22"/>
                <w:lang w:val="pl-PL" w:eastAsia="en-US" w:bidi="ar-SA"/>
              </w:rPr>
              <w:t>Uczeń</w:t>
            </w:r>
          </w:p>
        </w:tc>
      </w:tr>
      <w:tr>
        <w:trPr>
          <w:tblHeader w:val="true"/>
          <w:trHeight w:val="397" w:hRule="atLeast"/>
          <w:cantSplit w:val="true"/>
        </w:trPr>
        <w:tc>
          <w:tcPr>
            <w:tcW w:w="14570" w:type="dxa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color="auto" w:fill="B6DDE8" w:themeFill="accent5" w:themeFillTint="66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cap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aps/>
                <w:kern w:val="0"/>
                <w:sz w:val="22"/>
                <w:szCs w:val="22"/>
                <w:lang w:val="pl-PL" w:eastAsia="en-US" w:bidi="ar-SA"/>
              </w:rPr>
              <w:t>Komunikacja językowa i kultura języka</w:t>
            </w:r>
          </w:p>
        </w:tc>
      </w:tr>
      <w:tr>
        <w:trPr>
          <w:trHeight w:val="734" w:hRule="atLeast"/>
        </w:trPr>
        <w:tc>
          <w:tcPr>
            <w:tcW w:w="2762" w:type="dxa"/>
            <w:tcBorders>
              <w:top w:val="single" w:sz="2" w:space="0" w:color="0070C0"/>
              <w:left w:val="single" w:sz="4" w:space="0" w:color="4BACC6"/>
              <w:bottom w:val="single" w:sz="4" w:space="0" w:color="4BACC6"/>
              <w:right w:val="single" w:sz="6" w:space="0" w:color="4BACC6"/>
            </w:tcBorders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6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zna zasady pisowni,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6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wie, że istnieje norma wzorcowa i norma użytkowa,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60" w:after="0"/>
              <w:contextualSpacing/>
              <w:jc w:val="left"/>
              <w:rPr>
                <w:spacing w:val="-6"/>
              </w:rPr>
            </w:pPr>
            <w:r>
              <w:rPr>
                <w:rFonts w:eastAsia="Calibri" w:cs=""/>
                <w:spacing w:val="-6"/>
                <w:kern w:val="0"/>
                <w:sz w:val="22"/>
                <w:szCs w:val="22"/>
                <w:lang w:val="pl-PL" w:eastAsia="en-US" w:bidi="ar-SA"/>
              </w:rPr>
              <w:t>wie, że istnieją różne rodzaje błędów językowych,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6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rozpoznaje teksty reklamowe,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6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wskazuje slogany reklamowe,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6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wie, że w języku istnieje </w:t>
            </w:r>
            <w:r>
              <w:rPr>
                <w:rFonts w:eastAsia="Calibri" w:cs=""/>
                <w:spacing w:val="-6"/>
                <w:kern w:val="0"/>
                <w:sz w:val="22"/>
                <w:szCs w:val="22"/>
                <w:lang w:val="pl-PL" w:eastAsia="en-US" w:bidi="ar-SA"/>
              </w:rPr>
              <w:t>perswazja,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6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dostrzega manipulację językową,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6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zna zasady dyskutowania,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6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stara się zabierać głos w dyskusji,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6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formułuje argumenty.</w:t>
            </w:r>
          </w:p>
          <w:p>
            <w:pPr>
              <w:pStyle w:val="Normal"/>
              <w:widowControl/>
              <w:spacing w:lineRule="auto" w:line="240" w:before="6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3083" w:type="dxa"/>
            <w:tcBorders>
              <w:top w:val="single" w:sz="2" w:space="0" w:color="0070C0"/>
              <w:left w:val="single" w:sz="6" w:space="0" w:color="4BACC6"/>
              <w:bottom w:val="single" w:sz="4" w:space="0" w:color="4BACC6"/>
              <w:right w:val="single" w:sz="6" w:space="0" w:color="4BACC6"/>
            </w:tcBorders>
          </w:tcPr>
          <w:p>
            <w:pPr>
              <w:pStyle w:val="Normal"/>
              <w:widowControl/>
              <w:spacing w:lineRule="auto" w:line="240" w:before="60" w:after="40"/>
              <w:jc w:val="left"/>
              <w:rPr>
                <w:u w:val="single"/>
              </w:rPr>
            </w:pPr>
            <w:r>
              <w:rPr>
                <w:rFonts w:eastAsia="Calibri" w:cs=""/>
                <w:kern w:val="0"/>
                <w:sz w:val="22"/>
                <w:szCs w:val="22"/>
                <w:u w:val="single"/>
                <w:lang w:val="pl-PL" w:eastAsia="en-US" w:bidi="ar-SA"/>
              </w:rPr>
              <w:t>spełnia wymagania na ocenę dopuszczającą, a ponadto: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wie, co to jest norma językowa i błąd językowy,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wymienia rodzaje błędów,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odróżnia normę wzorcową od normy użytkowej,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zna cechy i funkcje tekstów reklamowych,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wie, czym jest slogan,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odróżnia perswazję od manipulacji,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rozpoznaje środki służące manipulacji językowej,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zna znaczenie języka ciała w komunikacji,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zna środki retoryczne stosowane w dyskusji,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podaje przykłady słownictwa modnego,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wyraża opinię na temat zjawisk językowych i ochrony polszczyzny.</w:t>
            </w:r>
          </w:p>
        </w:tc>
        <w:tc>
          <w:tcPr>
            <w:tcW w:w="2975" w:type="dxa"/>
            <w:tcBorders>
              <w:top w:val="single" w:sz="2" w:space="0" w:color="0070C0"/>
              <w:left w:val="single" w:sz="6" w:space="0" w:color="4BACC6"/>
              <w:bottom w:val="single" w:sz="4" w:space="0" w:color="4BACC6"/>
              <w:right w:val="single" w:sz="6" w:space="0" w:color="4BACC6"/>
            </w:tcBorders>
          </w:tcPr>
          <w:p>
            <w:pPr>
              <w:pStyle w:val="Normal"/>
              <w:widowControl/>
              <w:spacing w:lineRule="auto" w:line="240" w:before="60" w:after="40"/>
              <w:jc w:val="left"/>
              <w:rPr>
                <w:u w:val="single"/>
              </w:rPr>
            </w:pPr>
            <w:r>
              <w:rPr>
                <w:rFonts w:eastAsia="Calibri" w:cs=""/>
                <w:kern w:val="0"/>
                <w:sz w:val="22"/>
                <w:szCs w:val="22"/>
                <w:u w:val="single"/>
                <w:lang w:val="pl-PL" w:eastAsia="en-US" w:bidi="ar-SA"/>
              </w:rPr>
              <w:t>spełnia wymagania na ocenę dostateczną, a ponadto: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wyjaśnia różnicę między normą wzorcową a normą użytkową,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omawia różne rodzaje błędów językowych,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przekształca wypowiedzi tak, by usunąć błędy,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określa cechy i funkcje tekstów reklamowych,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wskazuje różnicę między perswazją a manipulacją,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60"/>
              <w:contextualSpacing/>
              <w:jc w:val="left"/>
              <w:rPr>
                <w:spacing w:val="-2"/>
              </w:rPr>
            </w:pPr>
            <w:r>
              <w:rPr>
                <w:rFonts w:eastAsia="Calibri" w:cs=""/>
                <w:spacing w:val="-2"/>
                <w:kern w:val="0"/>
                <w:sz w:val="22"/>
                <w:szCs w:val="22"/>
                <w:lang w:val="pl-PL" w:eastAsia="en-US" w:bidi="ar-SA"/>
              </w:rPr>
              <w:t>ocenia zasady dyskutowania,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6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przedstawia argumenty w dyskusji,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6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stosuje środki retoryczne,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6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wyjaśnia, na czym polega kultura języka,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6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podaje przykłady mody językowej.</w:t>
            </w:r>
          </w:p>
        </w:tc>
        <w:tc>
          <w:tcPr>
            <w:tcW w:w="2879" w:type="dxa"/>
            <w:tcBorders>
              <w:top w:val="single" w:sz="2" w:space="0" w:color="0070C0"/>
              <w:left w:val="single" w:sz="6" w:space="0" w:color="4BACC6"/>
              <w:bottom w:val="single" w:sz="4" w:space="0" w:color="4BACC6"/>
              <w:right w:val="single" w:sz="6" w:space="0" w:color="4BACC6"/>
            </w:tcBorders>
          </w:tcPr>
          <w:p>
            <w:pPr>
              <w:pStyle w:val="Normal"/>
              <w:widowControl/>
              <w:spacing w:lineRule="auto" w:line="240" w:before="60" w:after="40"/>
              <w:jc w:val="left"/>
              <w:rPr>
                <w:u w:val="single"/>
              </w:rPr>
            </w:pPr>
            <w:r>
              <w:rPr>
                <w:rFonts w:eastAsia="Calibri" w:cs=""/>
                <w:kern w:val="0"/>
                <w:sz w:val="22"/>
                <w:szCs w:val="22"/>
                <w:u w:val="single"/>
                <w:lang w:val="pl-PL" w:eastAsia="en-US" w:bidi="ar-SA"/>
              </w:rPr>
              <w:t>spełnia wymagania na ocenę dobrą, a ponadto: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spacing w:val="2"/>
              </w:rPr>
            </w:pPr>
            <w:r>
              <w:rPr>
                <w:rFonts w:eastAsia="Calibri" w:cs=""/>
                <w:spacing w:val="2"/>
                <w:kern w:val="0"/>
                <w:sz w:val="22"/>
                <w:szCs w:val="22"/>
                <w:lang w:val="pl-PL" w:eastAsia="en-US" w:bidi="ar-SA"/>
              </w:rPr>
              <w:t>na przykładach wyjaśnia różnicę między normą wzorcową a użytkową,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 praktyce rozpoznaje i eliminuje różne rodzaje błędów językowych,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podaje przykłady sloganów reklamowych,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6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wskazuje w tekście środki służące manipulacji,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6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stosuje w praktyce zasady dyskutowania,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6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poprawnie stosuje środki retoryczne,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6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zastępuje słownictwo modne synonimami,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6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uzasadnia opinię na temat zjawisk językowych i ochrony polszczyzny.</w:t>
            </w:r>
          </w:p>
        </w:tc>
        <w:tc>
          <w:tcPr>
            <w:tcW w:w="2871" w:type="dxa"/>
            <w:tcBorders>
              <w:top w:val="single" w:sz="2" w:space="0" w:color="0070C0"/>
              <w:left w:val="single" w:sz="6" w:space="0" w:color="4BACC6"/>
              <w:bottom w:val="single" w:sz="4" w:space="0" w:color="4BACC6"/>
              <w:right w:val="single" w:sz="4" w:space="0" w:color="4BACC6"/>
            </w:tcBorders>
          </w:tcPr>
          <w:p>
            <w:pPr>
              <w:pStyle w:val="Normal"/>
              <w:widowControl/>
              <w:spacing w:lineRule="auto" w:line="240" w:before="60" w:after="40"/>
              <w:jc w:val="left"/>
              <w:rPr>
                <w:u w:val="single"/>
              </w:rPr>
            </w:pPr>
            <w:r>
              <w:rPr>
                <w:rFonts w:eastAsia="Calibri" w:cs=""/>
                <w:kern w:val="0"/>
                <w:sz w:val="22"/>
                <w:szCs w:val="22"/>
                <w:u w:val="single"/>
                <w:lang w:val="pl-PL" w:eastAsia="en-US" w:bidi="ar-SA"/>
              </w:rPr>
              <w:t>spełnia wymagania na ocenę bardzo dobrą, a ponadto: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poprawia błędy w pracach swoich oraz kolegów / koleżanek,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na co dzień wykorzystuje wiedzę o komunikacji językowej i kulturze języka,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świadomie posługuje się perswazją,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6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nie poddaje się manipulacji językowej ani jej nie używa,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6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zna różne odmiany dyskusji,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bierze udział w debacie.</w:t>
            </w:r>
          </w:p>
        </w:tc>
      </w:tr>
    </w:tbl>
    <w:p>
      <w:pPr>
        <w:pStyle w:val="Normal"/>
        <w:spacing w:lineRule="auto" w:line="240" w:before="120" w:after="0"/>
        <w:rPr>
          <w:b/>
          <w:bCs/>
          <w:color w:val="FFC000"/>
          <w:sz w:val="28"/>
          <w:szCs w:val="28"/>
        </w:rPr>
      </w:pPr>
      <w:r>
        <w:rPr>
          <w:b/>
          <w:bCs/>
          <w:color w:val="FFC000"/>
          <w:sz w:val="32"/>
          <w:szCs w:val="32"/>
        </w:rPr>
        <w:t>II.4. Ortografia i interpunkcja</w:t>
      </w:r>
    </w:p>
    <w:p>
      <w:pPr>
        <w:pStyle w:val="Normal"/>
        <w:spacing w:before="0" w:after="0"/>
        <w:rPr/>
      </w:pPr>
      <w:r>
        <w:rPr/>
      </w:r>
    </w:p>
    <w:tbl>
      <w:tblPr>
        <w:tblStyle w:val="Tabela-Siatka"/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62"/>
        <w:gridCol w:w="3083"/>
        <w:gridCol w:w="2975"/>
        <w:gridCol w:w="2879"/>
        <w:gridCol w:w="2871"/>
      </w:tblGrid>
      <w:tr>
        <w:trPr>
          <w:tblHeader w:val="true"/>
          <w:trHeight w:val="205" w:hRule="atLeast"/>
          <w:cantSplit w:val="true"/>
        </w:trPr>
        <w:tc>
          <w:tcPr>
            <w:tcW w:w="14570" w:type="dxa"/>
            <w:gridSpan w:val="5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60" w:after="0"/>
              <w:jc w:val="center"/>
              <w:rPr>
                <w:rFonts w:cs="Calibri" w:cstheme="minorHAnsi"/>
                <w:b/>
                <w:bCs/>
                <w:color w:themeColor="background1" w:val="FFFFFF"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4"/>
                <w:szCs w:val="24"/>
                <w:lang w:val="pl-PL" w:eastAsia="en-US" w:bidi="ar-SA"/>
              </w:rPr>
              <w:t xml:space="preserve">Treści nauczania wskazane w </w:t>
            </w:r>
            <w:r>
              <w:rPr>
                <w:rFonts w:eastAsia="Calibri" w:cs="Calibri" w:cstheme="minorHAnsi"/>
                <w:b/>
                <w:bCs/>
                <w:i/>
                <w:iCs/>
                <w:color w:themeColor="background1" w:val="FFFFFF"/>
                <w:kern w:val="0"/>
                <w:sz w:val="24"/>
                <w:szCs w:val="24"/>
                <w:lang w:val="pl-PL" w:eastAsia="en-US" w:bidi="ar-SA"/>
              </w:rPr>
              <w:t xml:space="preserve">Podstawie programowej dla II etapu edukacyjnego </w:t>
            </w: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4"/>
                <w:szCs w:val="24"/>
                <w:lang w:val="pl-PL" w:eastAsia="en-US" w:bidi="ar-SA"/>
              </w:rPr>
              <w:t>(klasy 4–8)</w:t>
            </w:r>
          </w:p>
          <w:p>
            <w:pPr>
              <w:pStyle w:val="Normal"/>
              <w:widowControl/>
              <w:spacing w:lineRule="auto" w:line="240" w:before="0" w:after="60"/>
              <w:jc w:val="center"/>
              <w:rPr>
                <w:rFonts w:cs="Calibri" w:cstheme="minorHAnsi"/>
                <w:b/>
                <w:bC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4"/>
                <w:szCs w:val="24"/>
                <w:lang w:val="pl-PL" w:eastAsia="en-US" w:bidi="ar-SA"/>
              </w:rPr>
              <w:t xml:space="preserve">i zawarte w podręczniku </w:t>
            </w:r>
            <w:r>
              <w:rPr>
                <w:rFonts w:eastAsia="Calibri" w:cs="Calibri" w:cstheme="minorHAnsi"/>
                <w:b/>
                <w:bCs/>
                <w:i/>
                <w:iCs/>
                <w:color w:themeColor="background1" w:val="FFFFFF"/>
                <w:kern w:val="0"/>
                <w:sz w:val="24"/>
                <w:szCs w:val="24"/>
                <w:lang w:val="pl-PL" w:eastAsia="en-US" w:bidi="ar-SA"/>
              </w:rPr>
              <w:t>Zamieńmy słowo</w:t>
            </w: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4"/>
                <w:szCs w:val="24"/>
                <w:lang w:val="pl-PL" w:eastAsia="en-US" w:bidi="ar-SA"/>
              </w:rPr>
              <w:t xml:space="preserve"> dla klasy 8</w:t>
            </w:r>
          </w:p>
        </w:tc>
      </w:tr>
      <w:tr>
        <w:trPr>
          <w:tblHeader w:val="true"/>
          <w:trHeight w:val="340" w:hRule="atLeast"/>
          <w:cantSplit w:val="true"/>
        </w:trPr>
        <w:tc>
          <w:tcPr>
            <w:tcW w:w="2762" w:type="dxa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2"/>
                <w:szCs w:val="22"/>
                <w:lang w:val="pl-PL" w:eastAsia="en-US" w:bidi="ar-SA"/>
              </w:rPr>
              <w:t>ocena dopuszczająca</w:t>
            </w:r>
          </w:p>
        </w:tc>
        <w:tc>
          <w:tcPr>
            <w:tcW w:w="3083" w:type="dxa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2"/>
                <w:szCs w:val="22"/>
                <w:lang w:val="pl-PL" w:eastAsia="en-US" w:bidi="ar-SA"/>
              </w:rPr>
              <w:t>ocena dostateczna</w:t>
            </w:r>
          </w:p>
        </w:tc>
        <w:tc>
          <w:tcPr>
            <w:tcW w:w="2975" w:type="dxa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2"/>
                <w:szCs w:val="22"/>
                <w:lang w:val="pl-PL" w:eastAsia="en-US" w:bidi="ar-SA"/>
              </w:rPr>
              <w:t>ocena dobra</w:t>
            </w:r>
          </w:p>
        </w:tc>
        <w:tc>
          <w:tcPr>
            <w:tcW w:w="2879" w:type="dxa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2"/>
                <w:szCs w:val="22"/>
                <w:lang w:val="pl-PL" w:eastAsia="en-US" w:bidi="ar-SA"/>
              </w:rPr>
              <w:t>ocena bardzo dobra</w:t>
            </w:r>
          </w:p>
        </w:tc>
        <w:tc>
          <w:tcPr>
            <w:tcW w:w="2871" w:type="dxa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2"/>
                <w:szCs w:val="22"/>
                <w:lang w:val="pl-PL" w:eastAsia="en-US" w:bidi="ar-SA"/>
              </w:rPr>
              <w:t>ocena celująca</w:t>
            </w:r>
          </w:p>
        </w:tc>
      </w:tr>
      <w:tr>
        <w:trPr>
          <w:tblHeader w:val="true"/>
          <w:trHeight w:val="340" w:hRule="atLeast"/>
          <w:cantSplit w:val="true"/>
        </w:trPr>
        <w:tc>
          <w:tcPr>
            <w:tcW w:w="14570" w:type="dxa"/>
            <w:gridSpan w:val="5"/>
            <w:tcBorders>
              <w:top w:val="single" w:sz="4" w:space="0" w:color="FFFFFF"/>
              <w:left w:val="single" w:sz="6" w:space="0" w:color="FFFFFF"/>
              <w:bottom w:val="single" w:sz="2" w:space="0" w:color="0070C0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2"/>
                <w:szCs w:val="22"/>
                <w:lang w:val="pl-PL" w:eastAsia="en-US" w:bidi="ar-SA"/>
              </w:rPr>
              <w:t>Uczeń</w:t>
            </w:r>
          </w:p>
        </w:tc>
      </w:tr>
      <w:tr>
        <w:trPr>
          <w:tblHeader w:val="true"/>
          <w:trHeight w:val="397" w:hRule="atLeast"/>
          <w:cantSplit w:val="true"/>
        </w:trPr>
        <w:tc>
          <w:tcPr>
            <w:tcW w:w="14570" w:type="dxa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color="auto" w:fill="B6DDE8" w:themeFill="accent5" w:themeFillTint="66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cap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aps/>
                <w:kern w:val="0"/>
                <w:sz w:val="22"/>
                <w:szCs w:val="22"/>
                <w:lang w:val="pl-PL" w:eastAsia="en-US" w:bidi="ar-SA"/>
              </w:rPr>
              <w:t>Ortografia i interpunkcja</w:t>
            </w:r>
          </w:p>
        </w:tc>
      </w:tr>
      <w:tr>
        <w:trPr>
          <w:trHeight w:val="1571" w:hRule="atLeast"/>
        </w:trPr>
        <w:tc>
          <w:tcPr>
            <w:tcW w:w="2762" w:type="dxa"/>
            <w:tcBorders>
              <w:top w:val="single" w:sz="2" w:space="0" w:color="0070C0"/>
              <w:left w:val="single" w:sz="4" w:space="0" w:color="4BACC6"/>
              <w:bottom w:val="single" w:sz="4" w:space="0" w:color="4BACC6"/>
              <w:right w:val="single" w:sz="6" w:space="0" w:color="4BACC6"/>
            </w:tcBorders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6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zna reguły polskiej ortografii,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6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zna zasady interpunkcji w zdaniach oraz sposoby przytaczania cudzej wypowiedzi.</w:t>
            </w:r>
          </w:p>
        </w:tc>
        <w:tc>
          <w:tcPr>
            <w:tcW w:w="3083" w:type="dxa"/>
            <w:tcBorders>
              <w:top w:val="single" w:sz="2" w:space="0" w:color="0070C0"/>
              <w:left w:val="single" w:sz="6" w:space="0" w:color="4BACC6"/>
              <w:bottom w:val="single" w:sz="4" w:space="0" w:color="4BACC6"/>
              <w:right w:val="single" w:sz="6" w:space="0" w:color="4BACC6"/>
            </w:tcBorders>
          </w:tcPr>
          <w:p>
            <w:pPr>
              <w:pStyle w:val="Normal"/>
              <w:widowControl/>
              <w:spacing w:lineRule="auto" w:line="240" w:before="60" w:after="40"/>
              <w:jc w:val="left"/>
              <w:rPr>
                <w:u w:val="single"/>
              </w:rPr>
            </w:pPr>
            <w:r>
              <w:rPr>
                <w:rFonts w:eastAsia="Calibri" w:cs=""/>
                <w:kern w:val="0"/>
                <w:sz w:val="22"/>
                <w:szCs w:val="22"/>
                <w:u w:val="single"/>
                <w:lang w:val="pl-PL" w:eastAsia="en-US" w:bidi="ar-SA"/>
              </w:rPr>
              <w:t>spełnia wymagania na ocenę dopuszczającą, a ponadto: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rozumie, że na ortografię wpływa związek między formami fleksyjnymi oraz wyrazami pokrewnymi,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rozpoznaje reguły ortograficzne,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stosuje zasady poprawnej pisowni i interpunkcji.</w:t>
            </w:r>
          </w:p>
        </w:tc>
        <w:tc>
          <w:tcPr>
            <w:tcW w:w="2975" w:type="dxa"/>
            <w:tcBorders>
              <w:top w:val="single" w:sz="2" w:space="0" w:color="0070C0"/>
              <w:left w:val="single" w:sz="6" w:space="0" w:color="4BACC6"/>
              <w:bottom w:val="single" w:sz="4" w:space="0" w:color="4BACC6"/>
              <w:right w:val="single" w:sz="6" w:space="0" w:color="4BACC6"/>
            </w:tcBorders>
          </w:tcPr>
          <w:p>
            <w:pPr>
              <w:pStyle w:val="Normal"/>
              <w:widowControl/>
              <w:spacing w:lineRule="auto" w:line="240" w:before="60" w:after="40"/>
              <w:jc w:val="left"/>
              <w:rPr>
                <w:u w:val="single"/>
              </w:rPr>
            </w:pPr>
            <w:r>
              <w:rPr>
                <w:rFonts w:eastAsia="Calibri" w:cs=""/>
                <w:kern w:val="0"/>
                <w:sz w:val="22"/>
                <w:szCs w:val="22"/>
                <w:u w:val="single"/>
                <w:lang w:val="pl-PL" w:eastAsia="en-US" w:bidi="ar-SA"/>
              </w:rPr>
              <w:t>spełnia wymagania na ocenę dostateczną, a ponadto: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6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wie, co łączy ortografię z tradycją,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6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rozumie, że pisownia odzwierciedla zmiany, które kiedyś zaszły w języku,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6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objaśnia reguły </w:t>
            </w:r>
            <w:bookmarkStart w:id="0" w:name="_GoBack"/>
            <w:bookmarkEnd w:id="0"/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ortograficzne i interpunkcyjne.</w:t>
            </w:r>
          </w:p>
        </w:tc>
        <w:tc>
          <w:tcPr>
            <w:tcW w:w="2879" w:type="dxa"/>
            <w:tcBorders>
              <w:top w:val="single" w:sz="2" w:space="0" w:color="0070C0"/>
              <w:left w:val="single" w:sz="6" w:space="0" w:color="4BACC6"/>
              <w:bottom w:val="single" w:sz="4" w:space="0" w:color="4BACC6"/>
              <w:right w:val="single" w:sz="6" w:space="0" w:color="4BACC6"/>
            </w:tcBorders>
          </w:tcPr>
          <w:p>
            <w:pPr>
              <w:pStyle w:val="Normal"/>
              <w:widowControl/>
              <w:spacing w:lineRule="auto" w:line="240" w:before="60" w:after="40"/>
              <w:jc w:val="left"/>
              <w:rPr>
                <w:u w:val="single"/>
              </w:rPr>
            </w:pPr>
            <w:r>
              <w:rPr>
                <w:rFonts w:eastAsia="Calibri" w:cs=""/>
                <w:kern w:val="0"/>
                <w:sz w:val="22"/>
                <w:szCs w:val="22"/>
                <w:u w:val="single"/>
                <w:lang w:val="pl-PL" w:eastAsia="en-US" w:bidi="ar-SA"/>
              </w:rPr>
              <w:t>spełnia wymagania na ocenę dobrą, a ponadto: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6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 praktyce stosuje się do zasad polskiej ortografii i interpunkcji.</w:t>
            </w:r>
          </w:p>
        </w:tc>
        <w:tc>
          <w:tcPr>
            <w:tcW w:w="2871" w:type="dxa"/>
            <w:tcBorders>
              <w:top w:val="single" w:sz="2" w:space="0" w:color="0070C0"/>
              <w:left w:val="single" w:sz="6" w:space="0" w:color="4BACC6"/>
              <w:bottom w:val="single" w:sz="4" w:space="0" w:color="4BACC6"/>
              <w:right w:val="single" w:sz="4" w:space="0" w:color="4BACC6"/>
            </w:tcBorders>
          </w:tcPr>
          <w:p>
            <w:pPr>
              <w:pStyle w:val="Normal"/>
              <w:widowControl/>
              <w:spacing w:lineRule="auto" w:line="240" w:before="60" w:after="40"/>
              <w:jc w:val="left"/>
              <w:rPr>
                <w:u w:val="single"/>
              </w:rPr>
            </w:pPr>
            <w:r>
              <w:rPr>
                <w:rFonts w:eastAsia="Calibri" w:cs=""/>
                <w:kern w:val="0"/>
                <w:sz w:val="22"/>
                <w:szCs w:val="22"/>
                <w:u w:val="single"/>
                <w:lang w:val="pl-PL" w:eastAsia="en-US" w:bidi="ar-SA"/>
              </w:rPr>
              <w:t>spełnia wymagania na ocenę bardzo dobrą, a ponadto: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poprawia błędy ortograficzne i interpunkcyjne w pracach swoich oraz kolegów / koleżanek.</w:t>
            </w:r>
          </w:p>
        </w:tc>
      </w:tr>
    </w:tbl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hd w:val="clear" w:color="auto" w:fill="FFC000"/>
        <w:spacing w:before="0" w:after="0"/>
        <w:rPr>
          <w:b/>
          <w:bCs/>
          <w:caps/>
          <w:color w:themeColor="text1" w:themeTint="80" w:val="7F7F7F"/>
          <w:sz w:val="36"/>
          <w:szCs w:val="36"/>
        </w:rPr>
      </w:pPr>
      <w:r>
        <w:rPr>
          <w:b/>
          <w:bCs/>
          <w:color w:themeColor="text1" w:themeTint="80" w:val="7F7F7F"/>
          <w:sz w:val="36"/>
          <w:szCs w:val="36"/>
        </w:rPr>
        <w:t xml:space="preserve">III. </w:t>
      </w:r>
      <w:r>
        <w:rPr>
          <w:b/>
          <w:bCs/>
          <w:caps/>
          <w:color w:themeColor="text1" w:themeTint="80" w:val="7F7F7F"/>
          <w:sz w:val="36"/>
          <w:szCs w:val="36"/>
        </w:rPr>
        <w:t>TWORZENIE WYPOWIEDZI</w:t>
      </w:r>
    </w:p>
    <w:p>
      <w:pPr>
        <w:pStyle w:val="Normal"/>
        <w:spacing w:before="0" w:after="0"/>
        <w:rPr>
          <w:b/>
          <w:bCs/>
          <w:caps/>
          <w:color w:themeColor="text1" w:themeTint="80" w:val="7F7F7F"/>
          <w:sz w:val="16"/>
          <w:szCs w:val="16"/>
        </w:rPr>
      </w:pPr>
      <w:r>
        <w:rPr>
          <w:b/>
          <w:bCs/>
          <w:caps/>
          <w:color w:themeColor="text1" w:themeTint="80" w:val="7F7F7F"/>
          <w:sz w:val="16"/>
          <w:szCs w:val="16"/>
        </w:rPr>
      </w:r>
    </w:p>
    <w:tbl>
      <w:tblPr>
        <w:tblStyle w:val="Tabela-Siatka"/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62"/>
        <w:gridCol w:w="3083"/>
        <w:gridCol w:w="2975"/>
        <w:gridCol w:w="2879"/>
        <w:gridCol w:w="2871"/>
      </w:tblGrid>
      <w:tr>
        <w:trPr>
          <w:tblHeader w:val="true"/>
          <w:trHeight w:val="205" w:hRule="atLeast"/>
          <w:cantSplit w:val="true"/>
        </w:trPr>
        <w:tc>
          <w:tcPr>
            <w:tcW w:w="14570" w:type="dxa"/>
            <w:gridSpan w:val="5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60" w:after="0"/>
              <w:jc w:val="center"/>
              <w:rPr>
                <w:rFonts w:cs="Calibri" w:cstheme="minorHAnsi"/>
                <w:b/>
                <w:bCs/>
                <w:color w:themeColor="background1" w:val="FFFFFF"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4"/>
                <w:szCs w:val="24"/>
                <w:lang w:val="pl-PL" w:eastAsia="en-US" w:bidi="ar-SA"/>
              </w:rPr>
              <w:t xml:space="preserve">Treści nauczania wskazane w </w:t>
            </w:r>
            <w:r>
              <w:rPr>
                <w:rFonts w:eastAsia="Calibri" w:cs="Calibri" w:cstheme="minorHAnsi"/>
                <w:b/>
                <w:bCs/>
                <w:i/>
                <w:iCs/>
                <w:color w:themeColor="background1" w:val="FFFFFF"/>
                <w:kern w:val="0"/>
                <w:sz w:val="24"/>
                <w:szCs w:val="24"/>
                <w:lang w:val="pl-PL" w:eastAsia="en-US" w:bidi="ar-SA"/>
              </w:rPr>
              <w:t xml:space="preserve">Podstawie programowej dla II etapu edukacyjnego </w:t>
            </w: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4"/>
                <w:szCs w:val="24"/>
                <w:lang w:val="pl-PL" w:eastAsia="en-US" w:bidi="ar-SA"/>
              </w:rPr>
              <w:t>(klasy 4–8)</w:t>
            </w:r>
          </w:p>
          <w:p>
            <w:pPr>
              <w:pStyle w:val="Normal"/>
              <w:widowControl/>
              <w:spacing w:lineRule="auto" w:line="240" w:before="0" w:after="60"/>
              <w:jc w:val="center"/>
              <w:rPr>
                <w:rFonts w:cs="Calibri" w:cstheme="minorHAnsi"/>
                <w:b/>
                <w:bC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4"/>
                <w:szCs w:val="24"/>
                <w:lang w:val="pl-PL" w:eastAsia="en-US" w:bidi="ar-SA"/>
              </w:rPr>
              <w:t xml:space="preserve">i zawarte w podręczniku </w:t>
            </w:r>
            <w:r>
              <w:rPr>
                <w:rFonts w:eastAsia="Calibri" w:cs="Calibri" w:cstheme="minorHAnsi"/>
                <w:b/>
                <w:bCs/>
                <w:i/>
                <w:iCs/>
                <w:color w:themeColor="background1" w:val="FFFFFF"/>
                <w:kern w:val="0"/>
                <w:sz w:val="24"/>
                <w:szCs w:val="24"/>
                <w:lang w:val="pl-PL" w:eastAsia="en-US" w:bidi="ar-SA"/>
              </w:rPr>
              <w:t>Zamieńmy słowo</w:t>
            </w: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4"/>
                <w:szCs w:val="24"/>
                <w:lang w:val="pl-PL" w:eastAsia="en-US" w:bidi="ar-SA"/>
              </w:rPr>
              <w:t xml:space="preserve"> dla klasy 8</w:t>
            </w:r>
          </w:p>
        </w:tc>
      </w:tr>
      <w:tr>
        <w:trPr>
          <w:tblHeader w:val="true"/>
          <w:trHeight w:val="340" w:hRule="atLeast"/>
          <w:cantSplit w:val="true"/>
        </w:trPr>
        <w:tc>
          <w:tcPr>
            <w:tcW w:w="2762" w:type="dxa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2"/>
                <w:szCs w:val="22"/>
                <w:lang w:val="pl-PL" w:eastAsia="en-US" w:bidi="ar-SA"/>
              </w:rPr>
              <w:t>ocena dopuszczająca</w:t>
            </w:r>
          </w:p>
        </w:tc>
        <w:tc>
          <w:tcPr>
            <w:tcW w:w="3083" w:type="dxa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2"/>
                <w:szCs w:val="22"/>
                <w:lang w:val="pl-PL" w:eastAsia="en-US" w:bidi="ar-SA"/>
              </w:rPr>
              <w:t>ocena dostateczna</w:t>
            </w:r>
          </w:p>
        </w:tc>
        <w:tc>
          <w:tcPr>
            <w:tcW w:w="2975" w:type="dxa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2"/>
                <w:szCs w:val="22"/>
                <w:lang w:val="pl-PL" w:eastAsia="en-US" w:bidi="ar-SA"/>
              </w:rPr>
              <w:t>ocena dobra</w:t>
            </w:r>
          </w:p>
        </w:tc>
        <w:tc>
          <w:tcPr>
            <w:tcW w:w="2879" w:type="dxa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2"/>
                <w:szCs w:val="22"/>
                <w:lang w:val="pl-PL" w:eastAsia="en-US" w:bidi="ar-SA"/>
              </w:rPr>
              <w:t>ocena bardzo dobra</w:t>
            </w:r>
          </w:p>
        </w:tc>
        <w:tc>
          <w:tcPr>
            <w:tcW w:w="2871" w:type="dxa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2"/>
                <w:szCs w:val="22"/>
                <w:lang w:val="pl-PL" w:eastAsia="en-US" w:bidi="ar-SA"/>
              </w:rPr>
              <w:t>ocena celująca</w:t>
            </w:r>
          </w:p>
        </w:tc>
      </w:tr>
      <w:tr>
        <w:trPr>
          <w:tblHeader w:val="true"/>
          <w:trHeight w:val="340" w:hRule="atLeast"/>
          <w:cantSplit w:val="true"/>
        </w:trPr>
        <w:tc>
          <w:tcPr>
            <w:tcW w:w="14570" w:type="dxa"/>
            <w:gridSpan w:val="5"/>
            <w:tcBorders>
              <w:top w:val="single" w:sz="4" w:space="0" w:color="FFFFFF"/>
              <w:left w:val="single" w:sz="6" w:space="0" w:color="FFFFFF"/>
              <w:bottom w:val="single" w:sz="2" w:space="0" w:color="0070C0"/>
              <w:right w:val="single" w:sz="4" w:space="0" w:color="FFFFFF"/>
            </w:tcBorders>
            <w:shd w:color="auto" w:fill="4BACC6" w:themeFill="accent5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olor w:themeColor="background1" w:val="FFFFFF"/>
                <w:kern w:val="0"/>
                <w:sz w:val="22"/>
                <w:szCs w:val="22"/>
                <w:lang w:val="pl-PL" w:eastAsia="en-US" w:bidi="ar-SA"/>
              </w:rPr>
              <w:t>Uczeń</w:t>
            </w:r>
          </w:p>
        </w:tc>
      </w:tr>
      <w:tr>
        <w:trPr>
          <w:tblHeader w:val="true"/>
          <w:trHeight w:val="397" w:hRule="atLeast"/>
          <w:cantSplit w:val="true"/>
        </w:trPr>
        <w:tc>
          <w:tcPr>
            <w:tcW w:w="14570" w:type="dxa"/>
            <w:gridSpan w:val="5"/>
            <w:tcBorders>
              <w:top w:val="single" w:sz="2" w:space="0" w:color="0070C0"/>
              <w:left w:val="single" w:sz="2" w:space="0" w:color="0070C0"/>
              <w:bottom w:val="single" w:sz="4" w:space="0" w:color="0070C0"/>
              <w:right w:val="single" w:sz="2" w:space="0" w:color="0070C0"/>
            </w:tcBorders>
            <w:shd w:color="auto" w:fill="B6DDE8" w:themeFill="accent5" w:themeFillTint="66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caps/>
                <w:color w:themeColor="background1" w:val="FFFFFF"/>
              </w:rPr>
            </w:pPr>
            <w:r>
              <w:rPr>
                <w:rFonts w:eastAsia="Calibri" w:cs="Calibri" w:cstheme="minorHAnsi"/>
                <w:b/>
                <w:bCs/>
                <w:caps/>
                <w:kern w:val="0"/>
                <w:sz w:val="22"/>
                <w:szCs w:val="22"/>
                <w:lang w:val="pl-PL" w:eastAsia="en-US" w:bidi="ar-SA"/>
              </w:rPr>
              <w:t>rozprawka, opowiadanie twórcze, przemówienie, CV, list motywacyjny, podanie</w:t>
            </w:r>
          </w:p>
        </w:tc>
      </w:tr>
      <w:tr>
        <w:trPr>
          <w:trHeight w:val="1849" w:hRule="atLeast"/>
        </w:trPr>
        <w:tc>
          <w:tcPr>
            <w:tcW w:w="2762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6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wie, czym jest rozprawka,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60" w:after="0"/>
              <w:contextualSpacing/>
              <w:jc w:val="left"/>
              <w:rPr>
                <w:spacing w:val="-6"/>
              </w:rPr>
            </w:pPr>
            <w:r>
              <w:rPr>
                <w:rFonts w:eastAsia="Calibri" w:cs=""/>
                <w:spacing w:val="-6"/>
                <w:kern w:val="0"/>
                <w:sz w:val="22"/>
                <w:szCs w:val="22"/>
                <w:lang w:val="pl-PL" w:eastAsia="en-US" w:bidi="ar-SA"/>
              </w:rPr>
              <w:t xml:space="preserve">zna pojęcia </w:t>
            </w:r>
            <w:r>
              <w:rPr>
                <w:rFonts w:eastAsia="Calibri" w:cs=""/>
                <w:i/>
                <w:iCs/>
                <w:spacing w:val="-6"/>
                <w:kern w:val="0"/>
                <w:sz w:val="22"/>
                <w:szCs w:val="22"/>
                <w:lang w:val="pl-PL" w:eastAsia="en-US" w:bidi="ar-SA"/>
              </w:rPr>
              <w:t>teza</w:t>
            </w:r>
            <w:r>
              <w:rPr>
                <w:rFonts w:eastAsia="Calibri" w:cs=""/>
                <w:spacing w:val="-6"/>
                <w:kern w:val="0"/>
                <w:sz w:val="22"/>
                <w:szCs w:val="22"/>
                <w:lang w:val="pl-PL" w:eastAsia="en-US" w:bidi="ar-SA"/>
              </w:rPr>
              <w:t xml:space="preserve"> i </w:t>
            </w:r>
            <w:r>
              <w:rPr>
                <w:rFonts w:eastAsia="Calibri" w:cs=""/>
                <w:i/>
                <w:iCs/>
                <w:spacing w:val="-6"/>
                <w:kern w:val="0"/>
                <w:sz w:val="22"/>
                <w:szCs w:val="22"/>
                <w:lang w:val="pl-PL" w:eastAsia="en-US" w:bidi="ar-SA"/>
              </w:rPr>
              <w:t>argument</w:t>
            </w:r>
            <w:r>
              <w:rPr>
                <w:rFonts w:eastAsia="Calibri" w:cs=""/>
                <w:spacing w:val="-6"/>
                <w:kern w:val="0"/>
                <w:sz w:val="22"/>
                <w:szCs w:val="22"/>
                <w:lang w:val="pl-PL" w:eastAsia="en-US" w:bidi="ar-SA"/>
              </w:rPr>
              <w:t>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6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wie, że argumenty należy hierarchizować,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60" w:after="0"/>
              <w:contextualSpacing/>
              <w:jc w:val="left"/>
              <w:rPr>
                <w:spacing w:val="-2"/>
              </w:rPr>
            </w:pPr>
            <w:r>
              <w:rPr>
                <w:rFonts w:eastAsia="Calibri" w:cs=""/>
                <w:spacing w:val="-4"/>
                <w:kern w:val="0"/>
                <w:sz w:val="22"/>
                <w:szCs w:val="22"/>
                <w:lang w:val="pl-PL" w:eastAsia="en-US" w:bidi="ar-SA"/>
              </w:rPr>
              <w:t>wie, że argument powinien</w:t>
            </w:r>
            <w:r>
              <w:rPr>
                <w:rFonts w:eastAsia="Calibri" w:cs=""/>
                <w:spacing w:val="-2"/>
                <w:kern w:val="0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eastAsia="Calibri" w:cs=""/>
                <w:spacing w:val="-6"/>
                <w:kern w:val="0"/>
                <w:sz w:val="22"/>
                <w:szCs w:val="22"/>
                <w:lang w:val="pl-PL" w:eastAsia="en-US" w:bidi="ar-SA"/>
              </w:rPr>
              <w:t>być uzasadniony i zawierać</w:t>
            </w:r>
            <w:r>
              <w:rPr>
                <w:rFonts w:eastAsia="Calibri" w:cs=""/>
                <w:spacing w:val="-2"/>
                <w:kern w:val="0"/>
                <w:sz w:val="22"/>
                <w:szCs w:val="22"/>
                <w:lang w:val="pl-PL" w:eastAsia="en-US" w:bidi="ar-SA"/>
              </w:rPr>
              <w:t xml:space="preserve"> odwołanie do przykładu,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6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wie, czym jest plan kompozycyjny,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6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zna cechy przemówienia </w:t>
            </w:r>
            <w:r>
              <w:rPr>
                <w:rFonts w:eastAsia="Calibri" w:cs=""/>
                <w:spacing w:val="-4"/>
                <w:kern w:val="0"/>
                <w:sz w:val="22"/>
                <w:szCs w:val="22"/>
                <w:lang w:val="pl-PL" w:eastAsia="en-US" w:bidi="ar-SA"/>
              </w:rPr>
              <w:t>i cel tej formy wypowiedzi,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6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zna rodzaje argumentów,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6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zna zwroty do słuchaczy,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60" w:after="0"/>
              <w:contextualSpacing/>
              <w:jc w:val="left"/>
              <w:rPr>
                <w:spacing w:val="-2"/>
              </w:rPr>
            </w:pPr>
            <w:r>
              <w:rPr>
                <w:rFonts w:eastAsia="Calibri" w:cs=""/>
                <w:spacing w:val="-2"/>
                <w:kern w:val="0"/>
                <w:sz w:val="22"/>
                <w:szCs w:val="22"/>
                <w:lang w:val="pl-PL" w:eastAsia="en-US" w:bidi="ar-SA"/>
              </w:rPr>
              <w:t>wie, że w przemówieniu wykorzystuje się głos i mowę ciała,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6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odróżnia opowiadanie twórcze od odtwórczego,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6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zna typy narracji,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6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wie, że opowiadanie trzeba odpowiednio skomponować,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6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zna pojęcia retrospekcji i puenty,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6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spacing w:val="-6"/>
                <w:kern w:val="0"/>
                <w:sz w:val="22"/>
                <w:szCs w:val="22"/>
                <w:lang w:val="pl-PL" w:eastAsia="en-US" w:bidi="ar-SA"/>
              </w:rPr>
              <w:t xml:space="preserve">pod kierunkiem nauczyciela 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i / lub w grupie pisze rozprawkę z tezą, </w:t>
            </w:r>
            <w:r>
              <w:rPr>
                <w:rFonts w:eastAsia="Calibri" w:cs=""/>
                <w:spacing w:val="-10"/>
                <w:kern w:val="0"/>
                <w:sz w:val="22"/>
                <w:szCs w:val="22"/>
                <w:lang w:val="pl-PL" w:eastAsia="en-US" w:bidi="ar-SA"/>
              </w:rPr>
              <w:t xml:space="preserve">opowiadanie 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twórcze oraz proste</w:t>
            </w:r>
            <w:r>
              <w:rPr>
                <w:rFonts w:eastAsia="Calibri" w:cs=""/>
                <w:spacing w:val="-10"/>
                <w:kern w:val="0"/>
                <w:sz w:val="22"/>
                <w:szCs w:val="22"/>
                <w:lang w:val="pl-PL" w:eastAsia="en-US" w:bidi="ar-SA"/>
              </w:rPr>
              <w:t xml:space="preserve"> przemówienie,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6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zna pojęcie spójności tekstu,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6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zna wybrane  kryteria oceny różnych  form wypowiedzi,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6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wie, czym są teksty użytkowe,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6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wie, czemu służą CV i list motywacyjny.</w:t>
            </w:r>
          </w:p>
        </w:tc>
        <w:tc>
          <w:tcPr>
            <w:tcW w:w="308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>
            <w:pPr>
              <w:pStyle w:val="Normal"/>
              <w:widowControl/>
              <w:spacing w:lineRule="auto" w:line="240" w:before="60" w:after="40"/>
              <w:jc w:val="left"/>
              <w:rPr>
                <w:u w:val="single"/>
              </w:rPr>
            </w:pPr>
            <w:r>
              <w:rPr>
                <w:rFonts w:eastAsia="Calibri" w:cs=""/>
                <w:kern w:val="0"/>
                <w:sz w:val="22"/>
                <w:szCs w:val="22"/>
                <w:u w:val="single"/>
                <w:lang w:val="pl-PL" w:eastAsia="en-US" w:bidi="ar-SA"/>
              </w:rPr>
              <w:t>spełnia wymagania na ocenę dopuszczającą, a ponadto: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wymienia elementy kompozycyjne rozprawki,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formułuję tezę,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wie, czym jest argument,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odróżnia przykład od argumentu,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wie, na czym polega hierarchizacja argumentów,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wie, co to jest wniosek,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zna zasady tworzenia planu kompozycyjnego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zna etapy pracy nad przemówieniem,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dobiera argumenty i zwroty do słuchaczy,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wie, jak wykorzystać  głos i mowę ciała,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rozróżnia typy narracji,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wie, na czym polega trójdzielna kompozycja opowiadania, rozprawki,  przemówienia,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rozumie znaczenie retrospekcji i puenty,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pisze rozprawkę z tezą, opowiadanie twórcze i przemówienie,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zna środki językowe nadające tekstowi spójność,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przekształca tekst tak, by tworzył logiczną całość,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rozpoznaje w tekstach wnioskowanie,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wymienia kryteria oceny różnych form wypowiedzi,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odróżnia  podanie od innych form użytkowych,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zna elementy kompozycyjne CV i listu motywacyjnego.</w:t>
            </w:r>
          </w:p>
        </w:tc>
        <w:tc>
          <w:tcPr>
            <w:tcW w:w="2975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>
            <w:pPr>
              <w:pStyle w:val="Normal"/>
              <w:widowControl/>
              <w:spacing w:lineRule="auto" w:line="240" w:before="60" w:after="40"/>
              <w:jc w:val="left"/>
              <w:rPr>
                <w:u w:val="single"/>
              </w:rPr>
            </w:pPr>
            <w:r>
              <w:rPr>
                <w:rFonts w:eastAsia="Calibri" w:cs=""/>
                <w:kern w:val="0"/>
                <w:sz w:val="22"/>
                <w:szCs w:val="22"/>
                <w:u w:val="single"/>
                <w:lang w:val="pl-PL" w:eastAsia="en-US" w:bidi="ar-SA"/>
              </w:rPr>
              <w:t>spełnia wymagania na ocenę dostateczną, a ponadto: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wymienia cechy rozprawki,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odróżnia tezę od hipotezy,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odróżnia argument od kontrargumentu,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spacing w:val="-8"/>
              </w:rPr>
            </w:pPr>
            <w:r>
              <w:rPr>
                <w:rFonts w:eastAsia="Calibri" w:cs=""/>
                <w:spacing w:val="-8"/>
                <w:kern w:val="0"/>
                <w:sz w:val="22"/>
                <w:szCs w:val="22"/>
                <w:lang w:val="pl-PL" w:eastAsia="en-US" w:bidi="ar-SA"/>
              </w:rPr>
              <w:t>ilustruje argument przykładem,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próbuje uporządkować wywód,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pracuje nad planem kompozycyjnym,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podejmuje próbę wnioskowania,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pisze rozprawkę z hipotezą </w:t>
            </w:r>
            <w:r>
              <w:rPr>
                <w:rFonts w:eastAsia="Calibri" w:cs=""/>
                <w:spacing w:val="-6"/>
                <w:kern w:val="0"/>
                <w:sz w:val="22"/>
                <w:szCs w:val="22"/>
                <w:lang w:val="pl-PL" w:eastAsia="en-US" w:bidi="ar-SA"/>
              </w:rPr>
              <w:t>oraz przemówienie, w którym odpiera przewidywany kontrargument,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spacing w:val="-6"/>
              </w:rPr>
            </w:pPr>
            <w:r>
              <w:rPr>
                <w:rFonts w:eastAsia="Calibri" w:cs=""/>
                <w:spacing w:val="-6"/>
                <w:kern w:val="0"/>
                <w:sz w:val="22"/>
                <w:szCs w:val="22"/>
                <w:lang w:val="pl-PL" w:eastAsia="en-US" w:bidi="ar-SA"/>
              </w:rPr>
              <w:t>uzasadnia dobór argumentów,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stosuje odpowiednie zwroty do słuchaczy,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wskazuje różnice między opowiadaniem twórczym a odtwórczym,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stosuje różne typy narracji w opowiadaniu,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spacing w:val="-6"/>
              </w:rPr>
            </w:pPr>
            <w:r>
              <w:rPr>
                <w:rFonts w:eastAsia="Calibri" w:cs=""/>
                <w:spacing w:val="-6"/>
                <w:kern w:val="0"/>
                <w:sz w:val="22"/>
                <w:szCs w:val="22"/>
                <w:lang w:val="pl-PL" w:eastAsia="en-US" w:bidi="ar-SA"/>
              </w:rPr>
              <w:t xml:space="preserve">stosuje akapity dla oznaczenia 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głównych elementów kompozycyjnych tekstu,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stosuje w opowiadaniu retrospekcję i puentę,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6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dba o spójność tworzonego tekstu,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6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stosuje środki językowe nadające tekstowi spójność,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6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ocenia różne formy wypowiedzi, stosując poznane kryteria,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6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wyjaśnia, czym są CV, list motywacyjny i podanie,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6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umie napisać wskazany tekst użytkowy.</w:t>
            </w:r>
          </w:p>
        </w:tc>
        <w:tc>
          <w:tcPr>
            <w:tcW w:w="287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>
            <w:pPr>
              <w:pStyle w:val="Normal"/>
              <w:widowControl/>
              <w:spacing w:lineRule="auto" w:line="240" w:before="60" w:after="40"/>
              <w:jc w:val="left"/>
              <w:rPr>
                <w:u w:val="single"/>
              </w:rPr>
            </w:pPr>
            <w:r>
              <w:rPr>
                <w:rFonts w:eastAsia="Calibri" w:cs=""/>
                <w:kern w:val="0"/>
                <w:sz w:val="22"/>
                <w:szCs w:val="22"/>
                <w:u w:val="single"/>
                <w:lang w:val="pl-PL" w:eastAsia="en-US" w:bidi="ar-SA"/>
              </w:rPr>
              <w:t>spełnia wymagania na ocenę dobrą, a ponadto: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stawia ciekawe / oryginalne hipotezy,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formułuje kontrargumenty,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hierarchizuje argumenty,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spacing w:val="-6"/>
              </w:rPr>
            </w:pPr>
            <w:r>
              <w:rPr>
                <w:rFonts w:eastAsia="Calibri" w:cs=""/>
                <w:spacing w:val="-10"/>
                <w:kern w:val="0"/>
                <w:sz w:val="22"/>
                <w:szCs w:val="22"/>
                <w:lang w:val="pl-PL" w:eastAsia="en-US" w:bidi="ar-SA"/>
              </w:rPr>
              <w:t xml:space="preserve">zgadza się z cudzym poglądem </w:t>
            </w:r>
            <w:r>
              <w:rPr>
                <w:rFonts w:eastAsia="Calibri" w:cs=""/>
                <w:spacing w:val="-12"/>
                <w:kern w:val="0"/>
                <w:sz w:val="22"/>
                <w:szCs w:val="22"/>
                <w:lang w:val="pl-PL" w:eastAsia="en-US" w:bidi="ar-SA"/>
              </w:rPr>
              <w:t>lub z nim polemizuje, rzeczowo</w:t>
            </w:r>
            <w:r>
              <w:rPr>
                <w:rFonts w:eastAsia="Calibri" w:cs=""/>
                <w:spacing w:val="-6"/>
                <w:kern w:val="0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eastAsia="Calibri" w:cs=""/>
                <w:spacing w:val="-2"/>
                <w:kern w:val="0"/>
                <w:sz w:val="22"/>
                <w:szCs w:val="22"/>
                <w:lang w:val="pl-PL" w:eastAsia="en-US" w:bidi="ar-SA"/>
              </w:rPr>
              <w:t>uzasadniając własne zdanie,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formułuje wnioski,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porządkuje wywód argumentacyjny,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spacing w:val="-10"/>
              </w:rPr>
            </w:pPr>
            <w:r>
              <w:rPr>
                <w:rFonts w:eastAsia="Calibri" w:cs=""/>
                <w:spacing w:val="-10"/>
                <w:kern w:val="0"/>
                <w:sz w:val="22"/>
                <w:szCs w:val="22"/>
                <w:lang w:val="pl-PL" w:eastAsia="en-US" w:bidi="ar-SA"/>
              </w:rPr>
              <w:t>sporządza plan kompozycyjny,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funkcjonalnie korzysta ze zwrotów do słuchaczy,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spacing w:val="-8"/>
              </w:rPr>
            </w:pPr>
            <w:r>
              <w:rPr>
                <w:rFonts w:eastAsia="Calibri" w:cs=""/>
                <w:spacing w:val="-8"/>
                <w:kern w:val="0"/>
                <w:sz w:val="22"/>
                <w:szCs w:val="22"/>
                <w:lang w:val="pl-PL" w:eastAsia="en-US" w:bidi="ar-SA"/>
              </w:rPr>
              <w:t>używa środków retorycznych,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świadomie wykorzystuje głos i mowę ciała,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stosuje w opowiadaniu sześć elementów urozmaicania stylu,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rozumie rolę akapitów jako </w:t>
            </w:r>
            <w:r>
              <w:rPr>
                <w:rFonts w:eastAsia="Calibri" w:cs=""/>
                <w:spacing w:val="-4"/>
                <w:kern w:val="0"/>
                <w:sz w:val="22"/>
                <w:szCs w:val="22"/>
                <w:lang w:val="pl-PL" w:eastAsia="en-US" w:bidi="ar-SA"/>
              </w:rPr>
              <w:t>spójnych całości myślowych w tworzeniu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 wypowiedzi pisemnych,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pisze rozwiniętą rozprawkę</w:t>
            </w:r>
          </w:p>
          <w:p>
            <w:pPr>
              <w:pStyle w:val="ListParagraph"/>
              <w:widowControl/>
              <w:spacing w:lineRule="auto" w:line="240" w:before="0" w:after="0"/>
              <w:ind w:left="227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z tezą i hipotezą, ciekawe </w:t>
            </w:r>
            <w:r>
              <w:rPr>
                <w:rFonts w:eastAsia="Calibri" w:cs=""/>
                <w:spacing w:val="-4"/>
                <w:kern w:val="0"/>
                <w:sz w:val="22"/>
                <w:szCs w:val="22"/>
                <w:lang w:val="pl-PL" w:eastAsia="en-US" w:bidi="ar-SA"/>
              </w:rPr>
              <w:t>rozbudowane przemówienie i opowiadanie twórcze,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 w:val="false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omawia zasady tworzenia konkretnych tekstów użytkowych,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tworzy tekst jako logiczną całość,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pisze podanie zgodnie z wszelkimi wymogami tej formy wypowiedzi,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20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poprawnie tworzy dokumenty aplikacyjne.</w:t>
            </w:r>
          </w:p>
        </w:tc>
        <w:tc>
          <w:tcPr>
            <w:tcW w:w="2871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>
            <w:pPr>
              <w:pStyle w:val="Normal"/>
              <w:widowControl/>
              <w:spacing w:lineRule="auto" w:line="240" w:before="60" w:after="40"/>
              <w:jc w:val="left"/>
              <w:rPr>
                <w:u w:val="single"/>
              </w:rPr>
            </w:pPr>
            <w:r>
              <w:rPr>
                <w:rFonts w:eastAsia="Calibri" w:cs=""/>
                <w:kern w:val="0"/>
                <w:sz w:val="22"/>
                <w:szCs w:val="22"/>
                <w:u w:val="single"/>
                <w:lang w:val="pl-PL" w:eastAsia="en-US" w:bidi="ar-SA"/>
              </w:rPr>
              <w:t>spełnia wymagania na ocenę bardzo dobrą, a ponadto: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samodzielnie pisze spójną i rozwiniętą rozprawkę z tezą oraz hipotezą, uwzględniając wszystkie wymogi tej formy wypowiedzi,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samodzielnie pisze spójne przemówienie, używając różnych środków retorycznych i różnych rodzajów argumentów,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publicznie wygłasza swoje  przemówienie,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samodzielnie pisze spójne rozwinięte i ciekawe opowiadanie  twórcze, uwzględniając wszystkie wymogi tej formy wypowiedzi,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koryguje własne i cudze błędy związane z tworzeniem form wypowiedzi,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tworzy bezbłędnie pisma użytkowe.</w:t>
            </w:r>
          </w:p>
        </w:tc>
      </w:tr>
    </w:tbl>
    <w:p>
      <w:pPr>
        <w:pStyle w:val="Normal"/>
        <w:spacing w:before="0" w:after="0"/>
        <w:rPr>
          <w:sz w:val="6"/>
          <w:szCs w:val="6"/>
        </w:rPr>
      </w:pPr>
      <w:r>
        <w:rPr>
          <w:sz w:val="6"/>
          <w:szCs w:val="6"/>
        </w:rPr>
      </w:r>
    </w:p>
    <w:p>
      <w:pPr>
        <w:pStyle w:val="Normal"/>
        <w:spacing w:before="0" w:after="200"/>
        <w:rPr/>
      </w:pPr>
      <w:r>
        <w:rPr/>
      </w:r>
    </w:p>
    <w:sectPr>
      <w:headerReference w:type="default" r:id="rId2"/>
      <w:footerReference w:type="default" r:id="rId3"/>
      <w:type w:val="nextPage"/>
      <w:pgSz w:orient="landscape" w:w="16838" w:h="11906"/>
      <w:pgMar w:left="1134" w:right="1134" w:gutter="0" w:header="0" w:top="1701" w:footer="0" w:bottom="1418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Minion Pro">
    <w:charset w:val="ee"/>
    <w:family w:val="roman"/>
    <w:pitch w:val="variable"/>
  </w:font>
  <w:font w:name="AgendaPl Bold">
    <w:charset w:val="ee"/>
    <w:family w:val="roman"/>
    <w:pitch w:val="variable"/>
  </w:font>
  <w:font w:name="AgendaPl RegularCondensed">
    <w:charset w:val="ee"/>
    <w:family w:val="roman"/>
    <w:pitch w:val="variable"/>
  </w:font>
  <w:font w:name="Times New Roman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tabs>
        <w:tab w:val="clear" w:pos="9072"/>
        <w:tab w:val="center" w:pos="4536" w:leader="none"/>
        <w:tab w:val="right" w:pos="9639" w:leader="none"/>
      </w:tabs>
      <w:spacing w:lineRule="exact" w:line="160" w:before="80" w:after="0"/>
      <w:ind w:left="-567"/>
      <w:rPr>
        <w:sz w:val="18"/>
        <w:szCs w:val="18"/>
      </w:rPr>
    </w:pPr>
    <w:r>
      <w:rPr>
        <w:sz w:val="18"/>
        <w:szCs w:val="18"/>
      </w:rPr>
    </w:r>
  </w:p>
  <w:p>
    <w:pPr>
      <w:pStyle w:val="Footer"/>
      <w:tabs>
        <w:tab w:val="clear" w:pos="9072"/>
        <w:tab w:val="center" w:pos="4536" w:leader="none"/>
        <w:tab w:val="right" w:pos="9498" w:leader="none"/>
      </w:tabs>
      <w:spacing w:lineRule="exact" w:line="160" w:before="80" w:after="0"/>
      <w:ind w:left="-567"/>
      <w:rPr>
        <w:sz w:val="18"/>
        <w:szCs w:val="18"/>
      </w:rPr>
    </w:pPr>
    <w:r>
      <w:rPr>
        <w:sz w:val="18"/>
        <w:szCs w:val="18"/>
      </w:rPr>
    </w:r>
  </w:p>
  <w:p>
    <w:pPr>
      <w:pStyle w:val="Footer"/>
      <w:tabs>
        <w:tab w:val="clear" w:pos="4536"/>
        <w:tab w:val="clear" w:pos="9072"/>
        <w:tab w:val="center" w:pos="7230" w:leader="none"/>
        <w:tab w:val="right" w:pos="14459" w:leader="none"/>
      </w:tabs>
      <w:spacing w:lineRule="exact" w:line="160" w:before="240" w:after="0"/>
      <w:rPr>
        <w:sz w:val="16"/>
        <w:szCs w:val="16"/>
        <w:lang w:eastAsia="pl-PL"/>
      </w:rPr>
    </w:pPr>
    <w:r>
      <w:rPr/>
      <w:tab/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21</w:t>
    </w:r>
    <w:r>
      <w:rPr/>
      <w:fldChar w:fldCharType="end"/>
    </w:r>
    <w:r>
      <w:rPr/>
      <w:tab/>
    </w:r>
  </w:p>
  <w:p>
    <w:pPr>
      <w:pStyle w:val="Footer"/>
      <w:spacing w:lineRule="exact" w:line="160" w:before="240" w:after="0"/>
      <w:ind w:left="-1417"/>
      <w:jc w:val="cen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clear" w:pos="9072"/>
        <w:tab w:val="center" w:pos="4536" w:leader="none"/>
      </w:tabs>
      <w:ind w:left="-1418"/>
      <w:rPr/>
    </w:pPr>
    <w:r>
      <w:rPr/>
    </w:r>
  </w:p>
  <w:p>
    <w:pPr>
      <w:pStyle w:val="Header"/>
      <w:tabs>
        <w:tab w:val="clear" w:pos="9072"/>
        <w:tab w:val="center" w:pos="4536" w:leader="none"/>
      </w:tabs>
      <w:ind w:left="-1418"/>
      <w:rPr/>
    </w:pPr>
    <w:r>
      <w:rPr/>
    </w:r>
  </w:p>
  <w:p>
    <w:pPr>
      <w:pStyle w:val="Header"/>
      <w:tabs>
        <w:tab w:val="clear" w:pos="4536"/>
        <w:tab w:val="clear" w:pos="9072"/>
        <w:tab w:val="left" w:pos="5591" w:leader="none"/>
      </w:tabs>
      <w:ind w:left="-1418"/>
      <w:rPr/>
    </w:pPr>
    <w:r>
      <w:rPr/>
      <w:tab/>
    </w:r>
  </w:p>
  <w:p>
    <w:pPr>
      <w:pStyle w:val="Brakstyluakapitowego"/>
      <w:tabs>
        <w:tab w:val="clear" w:pos="709"/>
        <w:tab w:val="right" w:pos="14572" w:leader="none"/>
      </w:tabs>
      <w:suppressAutoHyphens w:val="true"/>
      <w:ind w:hanging="340" w:left="907"/>
      <w:jc w:val="both"/>
      <w:rPr>
        <w:rFonts w:ascii="Calibri" w:hAnsi="Calibri" w:cs="Calibri" w:asciiTheme="minorHAnsi" w:cstheme="minorHAnsi" w:hAnsiTheme="minorHAnsi"/>
        <w:color w:themeColor="background1" w:val="FFFFFF"/>
        <w:sz w:val="20"/>
        <w:szCs w:val="20"/>
        <w14:textOutline w14:w="9525" w14:cap="flat" w14:cmpd="sng" w14:algn="ctr">
          <w14:noFill/>
          <w14:prstDash w14:val="solid"/>
          <w14:round/>
        </w14:textOutline>
      </w:rPr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-"/>
      <w:lvlJc w:val="left"/>
      <w:pPr>
        <w:tabs>
          <w:tab w:val="num" w:pos="0"/>
        </w:tabs>
        <w:ind w:left="227" w:hanging="227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f3296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285d6f"/>
    <w:rPr/>
  </w:style>
  <w:style w:type="character" w:styleId="StopkaZnak" w:customStyle="1">
    <w:name w:val="Stopka Znak"/>
    <w:basedOn w:val="DefaultParagraphFont"/>
    <w:uiPriority w:val="99"/>
    <w:qFormat/>
    <w:rsid w:val="00285d6f"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285d6f"/>
    <w:rPr>
      <w:rFonts w:ascii="Tahoma" w:hAnsi="Tahoma" w:cs="Tahoma"/>
      <w:sz w:val="16"/>
      <w:szCs w:val="16"/>
    </w:rPr>
  </w:style>
  <w:style w:type="character" w:styleId="B" w:customStyle="1">
    <w:name w:val="B"/>
    <w:uiPriority w:val="99"/>
    <w:qFormat/>
    <w:rsid w:val="003b56fb"/>
    <w:rPr>
      <w:b/>
      <w:bCs/>
    </w:rPr>
  </w:style>
  <w:style w:type="character" w:styleId="CondensedItalic" w:customStyle="1">
    <w:name w:val="Condensed Italic"/>
    <w:uiPriority w:val="99"/>
    <w:qFormat/>
    <w:rsid w:val="003b56fb"/>
    <w:rPr>
      <w:i/>
      <w:iCs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285d6f"/>
    <w:pPr>
      <w:tabs>
        <w:tab w:val="clear" w:pos="709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285d6f"/>
    <w:pPr>
      <w:tabs>
        <w:tab w:val="clear" w:pos="709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285d6f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b5810"/>
    <w:pPr>
      <w:spacing w:before="0" w:after="200"/>
      <w:ind w:left="720"/>
      <w:contextualSpacing/>
    </w:pPr>
    <w:rPr/>
  </w:style>
  <w:style w:type="paragraph" w:styleId="Brakstyluakapitowego" w:customStyle="1">
    <w:name w:val="[Brak stylu akapitowego]"/>
    <w:qFormat/>
    <w:rsid w:val="003b56fb"/>
    <w:pPr>
      <w:widowControl/>
      <w:bidi w:val="0"/>
      <w:spacing w:lineRule="auto" w:line="288" w:before="0" w:after="0"/>
      <w:jc w:val="left"/>
      <w:textAlignment w:val="center"/>
    </w:pPr>
    <w:rPr>
      <w:rFonts w:ascii="Minion Pro" w:hAnsi="Minion Pro" w:cs="Minion Pro" w:eastAsia="Calibri"/>
      <w:color w:val="000000"/>
      <w:kern w:val="0"/>
      <w:sz w:val="24"/>
      <w:szCs w:val="24"/>
      <w:lang w:val="pl-PL" w:eastAsia="en-US" w:bidi="ar-SA"/>
    </w:rPr>
  </w:style>
  <w:style w:type="paragraph" w:styleId="PLATabelatytuTABELE" w:customStyle="1">
    <w:name w:val="PLA Tabela tytuł (TABELE)"/>
    <w:basedOn w:val="Brakstyluakapitowego"/>
    <w:uiPriority w:val="99"/>
    <w:qFormat/>
    <w:rsid w:val="003b56fb"/>
    <w:pPr>
      <w:suppressAutoHyphens w:val="true"/>
      <w:spacing w:lineRule="atLeast" w:line="340" w:before="0" w:after="57"/>
      <w:jc w:val="center"/>
    </w:pPr>
    <w:rPr>
      <w:rFonts w:ascii="AgendaPl Bold" w:hAnsi="AgendaPl Bold" w:cs="AgendaPl Bold"/>
      <w:b/>
      <w:bCs/>
      <w:color w:val="004CFF"/>
      <w:sz w:val="30"/>
      <w:szCs w:val="30"/>
      <w:vertAlign w:val="superscript"/>
    </w:rPr>
  </w:style>
  <w:style w:type="paragraph" w:styleId="PLATabelatekstTABELE" w:customStyle="1">
    <w:name w:val="PLA Tabela tekst (TABELE)"/>
    <w:basedOn w:val="Brakstyluakapitowego"/>
    <w:uiPriority w:val="99"/>
    <w:qFormat/>
    <w:rsid w:val="003b56fb"/>
    <w:pPr>
      <w:tabs>
        <w:tab w:val="clear" w:pos="709"/>
        <w:tab w:val="left" w:pos="170" w:leader="none"/>
      </w:tabs>
      <w:spacing w:lineRule="atLeast" w:line="230"/>
    </w:pPr>
    <w:rPr>
      <w:rFonts w:ascii="AgendaPl RegularCondensed" w:hAnsi="AgendaPl RegularCondensed" w:cs="AgendaPl RegularCondensed"/>
      <w:sz w:val="20"/>
      <w:szCs w:val="20"/>
    </w:rPr>
  </w:style>
  <w:style w:type="paragraph" w:styleId="PLATabelagwkaTABELE" w:customStyle="1">
    <w:name w:val="PLA Tabela główka (TABELE)"/>
    <w:basedOn w:val="Brakstyluakapitowego"/>
    <w:uiPriority w:val="99"/>
    <w:qFormat/>
    <w:rsid w:val="003b56fb"/>
    <w:pPr>
      <w:spacing w:lineRule="atLeast" w:line="230"/>
      <w:jc w:val="center"/>
    </w:pPr>
    <w:rPr>
      <w:rFonts w:ascii="AgendaPl Bold" w:hAnsi="AgendaPl Bold" w:cs="AgendaPl Bold"/>
      <w:b/>
      <w:bCs/>
      <w:color w:val="FFFFFF"/>
      <w:sz w:val="22"/>
      <w:szCs w:val="22"/>
    </w:rPr>
  </w:style>
  <w:style w:type="paragraph" w:styleId="PLATabelkabezdzieleniaTABELE" w:customStyle="1">
    <w:name w:val="PLA Tabelka bez dzielenia (TABELE)"/>
    <w:basedOn w:val="PLATabelatekstTABELE"/>
    <w:uiPriority w:val="99"/>
    <w:qFormat/>
    <w:rsid w:val="003b56fb"/>
    <w:pPr>
      <w:suppressAutoHyphens w:val="true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6b581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69435E-5BE4-433A-B3A3-23832AA49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LibreOffice/7.6.3.2$Windows_X86_64 LibreOffice_project/29d686fea9f6705b262d369fede658f824154cc0</Application>
  <AppVersion>15.0000</AppVersion>
  <Pages>21</Pages>
  <Words>5767</Words>
  <Characters>35713</Characters>
  <CharactersWithSpaces>40088</CharactersWithSpaces>
  <Paragraphs>832</Paragraphs>
  <Company>WSiP Sp. z o.o.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2024-08-21T21:42:00Z</dcterms:created>
  <dc:creator>Marta Jedlinska</dc:creator>
  <dc:description/>
  <dc:language>pl-PL</dc:language>
  <cp:lastModifiedBy/>
  <dcterms:modified xsi:type="dcterms:W3CDTF">2026-08-21T22:53:42Z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